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0DA2C" w14:textId="4F54E155" w:rsidR="00B95F2D" w:rsidRPr="00855640" w:rsidRDefault="00B95F2D" w:rsidP="00B95F2D">
      <w:pPr>
        <w:jc w:val="center"/>
        <w:rPr>
          <w:b/>
          <w:bCs/>
          <w:sz w:val="36"/>
          <w:szCs w:val="36"/>
        </w:rPr>
      </w:pPr>
      <w:r w:rsidRPr="00855640">
        <w:rPr>
          <w:b/>
          <w:bCs/>
          <w:sz w:val="36"/>
          <w:szCs w:val="36"/>
        </w:rPr>
        <w:t>202</w:t>
      </w:r>
      <w:r>
        <w:rPr>
          <w:b/>
          <w:bCs/>
          <w:sz w:val="36"/>
          <w:szCs w:val="36"/>
        </w:rPr>
        <w:t>4</w:t>
      </w:r>
      <w:r w:rsidRPr="00855640">
        <w:rPr>
          <w:b/>
          <w:bCs/>
          <w:sz w:val="36"/>
          <w:szCs w:val="36"/>
        </w:rPr>
        <w:t xml:space="preserve"> Preaching Conference</w:t>
      </w:r>
    </w:p>
    <w:p w14:paraId="6ACEB31B" w14:textId="06554A95" w:rsidR="00B95F2D" w:rsidRPr="00F10017" w:rsidRDefault="005B46FA" w:rsidP="00B95F2D">
      <w:pPr>
        <w:jc w:val="center"/>
        <w:rPr>
          <w:sz w:val="36"/>
          <w:szCs w:val="36"/>
          <w:u w:val="single"/>
        </w:rPr>
      </w:pPr>
      <w:r w:rsidRPr="00F10017">
        <w:rPr>
          <w:sz w:val="36"/>
          <w:szCs w:val="36"/>
          <w:u w:val="single"/>
        </w:rPr>
        <w:t xml:space="preserve">First and Second Samuel: </w:t>
      </w:r>
      <w:r w:rsidR="00B95F2D" w:rsidRPr="00F10017">
        <w:rPr>
          <w:sz w:val="36"/>
          <w:szCs w:val="36"/>
          <w:u w:val="single"/>
        </w:rPr>
        <w:t xml:space="preserve">Background and Contextual Issues </w:t>
      </w:r>
    </w:p>
    <w:p w14:paraId="16BA0CF2" w14:textId="77777777" w:rsidR="00B95F2D" w:rsidRPr="00855640" w:rsidRDefault="00B95F2D" w:rsidP="00B95F2D">
      <w:pPr>
        <w:jc w:val="center"/>
        <w:rPr>
          <w:sz w:val="36"/>
          <w:szCs w:val="36"/>
        </w:rPr>
      </w:pPr>
      <w:r w:rsidRPr="00855640">
        <w:rPr>
          <w:sz w:val="36"/>
          <w:szCs w:val="36"/>
        </w:rPr>
        <w:t>Joseph Bird, PhD</w:t>
      </w:r>
    </w:p>
    <w:p w14:paraId="14C88AB2" w14:textId="1AD5D5E8" w:rsidR="00B75828" w:rsidRDefault="00856BE2" w:rsidP="00856BE2">
      <w:pPr>
        <w:jc w:val="center"/>
      </w:pPr>
      <w:r>
        <w:rPr>
          <w:noProof/>
          <w14:ligatures w14:val="standardContextual"/>
        </w:rPr>
        <w:drawing>
          <wp:inline distT="0" distB="0" distL="0" distR="0" wp14:anchorId="187BEE57" wp14:editId="345A33BA">
            <wp:extent cx="4946650" cy="5151175"/>
            <wp:effectExtent l="0" t="0" r="6350" b="0"/>
            <wp:docPr id="1167131478" name="Picture 1" descr="A silver crown with gold acc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131478" name="Picture 1" descr="A silver crown with gold accen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952211" cy="5156966"/>
                    </a:xfrm>
                    <a:prstGeom prst="rect">
                      <a:avLst/>
                    </a:prstGeom>
                  </pic:spPr>
                </pic:pic>
              </a:graphicData>
            </a:graphic>
          </wp:inline>
        </w:drawing>
      </w:r>
    </w:p>
    <w:p w14:paraId="6E5EB790" w14:textId="77777777" w:rsidR="00856BE2" w:rsidRDefault="00856BE2" w:rsidP="00856BE2">
      <w:pPr>
        <w:jc w:val="center"/>
      </w:pPr>
    </w:p>
    <w:p w14:paraId="2D7E8F53" w14:textId="77777777" w:rsidR="009F7375" w:rsidRDefault="00856BE2" w:rsidP="008F12E1">
      <w:pPr>
        <w:jc w:val="center"/>
      </w:pPr>
      <w:r w:rsidRPr="00856BE2">
        <w:t>Torah crown (</w:t>
      </w:r>
      <w:r w:rsidRPr="00856BE2">
        <w:rPr>
          <w:i/>
          <w:iCs/>
        </w:rPr>
        <w:t>keter</w:t>
      </w:r>
      <w:r w:rsidRPr="00856BE2">
        <w:t>), Andrea Zambelli ‘L’Honnesta,’ c. 1740–50, silver, parcel gilt, Venice, 27.5 x 31.4 x 31.4 cm</w:t>
      </w:r>
      <w:r>
        <w:t>. Location: The Metropolitan Museum of Art</w:t>
      </w:r>
      <w:r w:rsidR="00DC7BD6">
        <w:t>.</w:t>
      </w:r>
      <w:r>
        <w:t xml:space="preserve"> </w:t>
      </w:r>
    </w:p>
    <w:p w14:paraId="5EEAA477" w14:textId="066D12E2" w:rsidR="00EA34F5" w:rsidRDefault="00EA34F5" w:rsidP="0055645D"/>
    <w:p w14:paraId="61CC0D9A" w14:textId="77777777" w:rsidR="0055645D" w:rsidRDefault="0055645D" w:rsidP="0055645D"/>
    <w:p w14:paraId="33A26643" w14:textId="77777777" w:rsidR="00EA34F5" w:rsidRDefault="00EA34F5" w:rsidP="00856BE2">
      <w:pPr>
        <w:jc w:val="center"/>
      </w:pPr>
    </w:p>
    <w:p w14:paraId="3D88E9F0" w14:textId="21117489" w:rsidR="01EB8908" w:rsidRDefault="01EB8908" w:rsidP="01EB8908">
      <w:pPr>
        <w:jc w:val="center"/>
      </w:pPr>
    </w:p>
    <w:p w14:paraId="16687575" w14:textId="54CB0AC4" w:rsidR="00A80AAA" w:rsidRPr="00336BF7" w:rsidRDefault="00A80AAA" w:rsidP="00C11E8D">
      <w:pPr>
        <w:jc w:val="center"/>
      </w:pPr>
      <w:r w:rsidRPr="00336BF7">
        <w:t>Table of Contents</w:t>
      </w:r>
    </w:p>
    <w:p w14:paraId="34D8DC04" w14:textId="23715AB4" w:rsidR="00557542" w:rsidRPr="00336BF7" w:rsidRDefault="007577A5" w:rsidP="00557542">
      <w:pPr>
        <w:pStyle w:val="ListParagraph"/>
        <w:numPr>
          <w:ilvl w:val="0"/>
          <w:numId w:val="3"/>
        </w:numPr>
      </w:pPr>
      <w:r>
        <w:t xml:space="preserve">Preaching First and Second Samuel </w:t>
      </w:r>
      <w:r w:rsidR="00A80AAA" w:rsidRPr="01EB8908">
        <w:rPr>
          <w:u w:val="single"/>
        </w:rPr>
        <w:t xml:space="preserve">                                                 </w:t>
      </w:r>
      <w:r w:rsidR="402CF2A5" w:rsidRPr="01EB8908">
        <w:rPr>
          <w:u w:val="single"/>
        </w:rPr>
        <w:t xml:space="preserve">                </w:t>
      </w:r>
      <w:r w:rsidR="00A80AAA" w:rsidRPr="01EB8908">
        <w:rPr>
          <w:u w:val="single"/>
        </w:rPr>
        <w:t xml:space="preserve">    </w:t>
      </w:r>
      <w:r w:rsidR="0040374B" w:rsidRPr="01EB8908">
        <w:rPr>
          <w:u w:val="single"/>
        </w:rPr>
        <w:t xml:space="preserve"> </w:t>
      </w:r>
      <w:r w:rsidR="00A80AAA" w:rsidRPr="01EB8908">
        <w:rPr>
          <w:u w:val="single"/>
        </w:rPr>
        <w:t xml:space="preserve">   </w:t>
      </w:r>
      <w:r w:rsidR="1F7F653E" w:rsidRPr="01EB8908">
        <w:rPr>
          <w:u w:val="single"/>
        </w:rPr>
        <w:t xml:space="preserve"> </w:t>
      </w:r>
      <w:r w:rsidR="00A80AAA" w:rsidRPr="01EB8908">
        <w:rPr>
          <w:u w:val="single"/>
        </w:rPr>
        <w:t xml:space="preserve">       </w:t>
      </w:r>
      <w:r w:rsidR="00A80AAA">
        <w:t>1</w:t>
      </w:r>
    </w:p>
    <w:p w14:paraId="3224D730" w14:textId="0AB2D421" w:rsidR="00A80AAA" w:rsidRPr="00336BF7" w:rsidRDefault="007F6325" w:rsidP="00E7289F">
      <w:pPr>
        <w:pStyle w:val="ListParagraph"/>
        <w:numPr>
          <w:ilvl w:val="0"/>
          <w:numId w:val="3"/>
        </w:numPr>
      </w:pPr>
      <w:r>
        <w:t>First and Second Samuel in the Historical Books</w:t>
      </w:r>
      <w:r w:rsidR="00A80AAA" w:rsidRPr="01EB8908">
        <w:rPr>
          <w:u w:val="single"/>
        </w:rPr>
        <w:t xml:space="preserve">            </w:t>
      </w:r>
      <w:r w:rsidR="007C062A" w:rsidRPr="01EB8908">
        <w:rPr>
          <w:u w:val="single"/>
        </w:rPr>
        <w:t xml:space="preserve">      </w:t>
      </w:r>
      <w:r w:rsidR="67461221" w:rsidRPr="01EB8908">
        <w:rPr>
          <w:u w:val="single"/>
        </w:rPr>
        <w:t xml:space="preserve">            </w:t>
      </w:r>
      <w:r w:rsidR="1E122DF3" w:rsidRPr="01EB8908">
        <w:rPr>
          <w:u w:val="single"/>
        </w:rPr>
        <w:t xml:space="preserve">      </w:t>
      </w:r>
      <w:r w:rsidR="67461221" w:rsidRPr="01EB8908">
        <w:rPr>
          <w:u w:val="single"/>
        </w:rPr>
        <w:t xml:space="preserve">        </w:t>
      </w:r>
      <w:r w:rsidR="60950EEA" w:rsidRPr="01EB8908">
        <w:rPr>
          <w:u w:val="single"/>
        </w:rPr>
        <w:t xml:space="preserve">       </w:t>
      </w:r>
      <w:r w:rsidR="192744B5" w:rsidRPr="01EB8908">
        <w:rPr>
          <w:u w:val="single"/>
        </w:rPr>
        <w:t xml:space="preserve"> </w:t>
      </w:r>
      <w:r w:rsidR="60950EEA" w:rsidRPr="01EB8908">
        <w:rPr>
          <w:u w:val="single"/>
        </w:rPr>
        <w:t xml:space="preserve">   </w:t>
      </w:r>
      <w:r w:rsidR="67461221" w:rsidRPr="01EB8908">
        <w:rPr>
          <w:u w:val="single"/>
        </w:rPr>
        <w:t xml:space="preserve">   </w:t>
      </w:r>
      <w:r w:rsidR="493B858C" w:rsidRPr="01EB8908">
        <w:rPr>
          <w:u w:val="single"/>
        </w:rPr>
        <w:t xml:space="preserve"> </w:t>
      </w:r>
      <w:r w:rsidR="67461221" w:rsidRPr="01EB8908">
        <w:rPr>
          <w:u w:val="single"/>
        </w:rPr>
        <w:t xml:space="preserve">  </w:t>
      </w:r>
      <w:r w:rsidR="67461221">
        <w:t>2</w:t>
      </w:r>
    </w:p>
    <w:p w14:paraId="4A600F33" w14:textId="6A0D4F0A" w:rsidR="00A80AAA" w:rsidRPr="00336BF7" w:rsidRDefault="00C237E3" w:rsidP="00A80AAA">
      <w:pPr>
        <w:pStyle w:val="ListParagraph"/>
        <w:numPr>
          <w:ilvl w:val="0"/>
          <w:numId w:val="3"/>
        </w:numPr>
      </w:pPr>
      <w:r>
        <w:t>Overview of Judges</w:t>
      </w:r>
      <w:r w:rsidR="00A80AAA" w:rsidRPr="01EB8908">
        <w:rPr>
          <w:u w:val="single"/>
        </w:rPr>
        <w:t xml:space="preserve">                                                                             </w:t>
      </w:r>
      <w:r w:rsidR="1D1A7E46" w:rsidRPr="01EB8908">
        <w:rPr>
          <w:u w:val="single"/>
        </w:rPr>
        <w:t xml:space="preserve">                </w:t>
      </w:r>
      <w:r w:rsidR="00A80AAA" w:rsidRPr="01EB8908">
        <w:rPr>
          <w:u w:val="single"/>
        </w:rPr>
        <w:t xml:space="preserve">         </w:t>
      </w:r>
      <w:r w:rsidR="493B858C" w:rsidRPr="01EB8908">
        <w:rPr>
          <w:u w:val="single"/>
        </w:rPr>
        <w:t xml:space="preserve"> </w:t>
      </w:r>
      <w:r w:rsidR="00A80AAA" w:rsidRPr="01EB8908">
        <w:rPr>
          <w:u w:val="single"/>
        </w:rPr>
        <w:t xml:space="preserve">    </w:t>
      </w:r>
      <w:r>
        <w:t>3</w:t>
      </w:r>
      <w:r w:rsidR="00A80AAA">
        <w:t xml:space="preserve"> </w:t>
      </w:r>
    </w:p>
    <w:p w14:paraId="277B004A" w14:textId="4A7DB831" w:rsidR="00621A9A" w:rsidRPr="00336BF7" w:rsidRDefault="0040374B" w:rsidP="01EB8908">
      <w:pPr>
        <w:pStyle w:val="ListParagraph"/>
        <w:numPr>
          <w:ilvl w:val="0"/>
          <w:numId w:val="3"/>
        </w:numPr>
        <w:rPr>
          <w:u w:val="single"/>
        </w:rPr>
      </w:pPr>
      <w:r>
        <w:t xml:space="preserve">Background </w:t>
      </w:r>
      <w:r w:rsidR="30B098FC">
        <w:t xml:space="preserve">Information for </w:t>
      </w:r>
      <w:r>
        <w:t xml:space="preserve">1 and 2 </w:t>
      </w:r>
      <w:r w:rsidR="21B17CA3">
        <w:t>Samuel</w:t>
      </w:r>
      <w:r w:rsidR="21B17CA3" w:rsidRPr="01EB8908">
        <w:rPr>
          <w:u w:val="single"/>
        </w:rPr>
        <w:t xml:space="preserve">                                     </w:t>
      </w:r>
      <w:r w:rsidR="5A3D4E7C" w:rsidRPr="01EB8908">
        <w:rPr>
          <w:u w:val="single"/>
        </w:rPr>
        <w:t xml:space="preserve">               </w:t>
      </w:r>
      <w:r w:rsidR="21B17CA3" w:rsidRPr="01EB8908">
        <w:rPr>
          <w:u w:val="single"/>
        </w:rPr>
        <w:t xml:space="preserve">         </w:t>
      </w:r>
      <w:r w:rsidR="7D512745" w:rsidRPr="01EB8908">
        <w:rPr>
          <w:u w:val="single"/>
        </w:rPr>
        <w:t xml:space="preserve"> </w:t>
      </w:r>
      <w:r w:rsidR="21B17CA3" w:rsidRPr="01EB8908">
        <w:rPr>
          <w:u w:val="single"/>
        </w:rPr>
        <w:t xml:space="preserve">  </w:t>
      </w:r>
      <w:r w:rsidR="7D1A73DC" w:rsidRPr="01EB8908">
        <w:rPr>
          <w:u w:val="single"/>
        </w:rPr>
        <w:t xml:space="preserve"> </w:t>
      </w:r>
      <w:r w:rsidR="21B17CA3" w:rsidRPr="01EB8908">
        <w:rPr>
          <w:u w:val="single"/>
        </w:rPr>
        <w:t xml:space="preserve">   </w:t>
      </w:r>
      <w:r w:rsidR="21B17CA3">
        <w:t>4</w:t>
      </w:r>
    </w:p>
    <w:p w14:paraId="3CEE73A5" w14:textId="0C0E8DAD" w:rsidR="00A80AAA" w:rsidRPr="00FC030C" w:rsidRDefault="00FC030C" w:rsidP="01EB8908">
      <w:pPr>
        <w:pStyle w:val="ListParagraph"/>
        <w:numPr>
          <w:ilvl w:val="0"/>
          <w:numId w:val="3"/>
        </w:numPr>
        <w:rPr>
          <w:u w:val="single"/>
        </w:rPr>
      </w:pPr>
      <w:r>
        <w:t>Background Information for Each Chapter of 1 Samuel</w:t>
      </w:r>
      <w:r w:rsidR="00A80AAA" w:rsidRPr="01EB8908">
        <w:rPr>
          <w:u w:val="single"/>
        </w:rPr>
        <w:t xml:space="preserve">     </w:t>
      </w:r>
      <w:r w:rsidR="123C3F6E" w:rsidRPr="01EB8908">
        <w:rPr>
          <w:u w:val="single"/>
        </w:rPr>
        <w:t xml:space="preserve">              </w:t>
      </w:r>
      <w:r w:rsidR="2B41F399" w:rsidRPr="01EB8908">
        <w:rPr>
          <w:u w:val="single"/>
        </w:rPr>
        <w:t xml:space="preserve">               </w:t>
      </w:r>
      <w:r w:rsidR="123C3F6E" w:rsidRPr="01EB8908">
        <w:rPr>
          <w:u w:val="single"/>
        </w:rPr>
        <w:t xml:space="preserve">  </w:t>
      </w:r>
      <w:r w:rsidR="00A80AAA" w:rsidRPr="01EB8908">
        <w:rPr>
          <w:u w:val="single"/>
        </w:rPr>
        <w:t xml:space="preserve">        </w:t>
      </w:r>
      <w:r w:rsidR="7D512745" w:rsidRPr="01EB8908">
        <w:rPr>
          <w:u w:val="single"/>
        </w:rPr>
        <w:t xml:space="preserve"> </w:t>
      </w:r>
      <w:r w:rsidR="00A80AAA" w:rsidRPr="01EB8908">
        <w:rPr>
          <w:u w:val="single"/>
        </w:rPr>
        <w:t xml:space="preserve"> </w:t>
      </w:r>
      <w:r w:rsidR="0C5E1516" w:rsidRPr="01EB8908">
        <w:rPr>
          <w:u w:val="single"/>
        </w:rPr>
        <w:t xml:space="preserve"> </w:t>
      </w:r>
      <w:r w:rsidR="00A80AAA" w:rsidRPr="01EB8908">
        <w:rPr>
          <w:u w:val="single"/>
        </w:rPr>
        <w:t xml:space="preserve">   </w:t>
      </w:r>
      <w:r w:rsidR="7DD7ACAC" w:rsidRPr="01EB8908">
        <w:rPr>
          <w:u w:val="single"/>
        </w:rPr>
        <w:t xml:space="preserve"> </w:t>
      </w:r>
      <w:r w:rsidR="7DD7ACAC">
        <w:t>7</w:t>
      </w:r>
    </w:p>
    <w:p w14:paraId="22D74B92" w14:textId="19970C51" w:rsidR="00A80AAA" w:rsidRPr="00336BF7" w:rsidRDefault="7DD7ACAC" w:rsidP="01EB8908">
      <w:pPr>
        <w:pStyle w:val="ListParagraph"/>
        <w:numPr>
          <w:ilvl w:val="1"/>
          <w:numId w:val="2"/>
        </w:numPr>
      </w:pPr>
      <w:r>
        <w:t xml:space="preserve">1 Samuel </w:t>
      </w:r>
      <w:r w:rsidR="00A80AAA">
        <w:t>1</w:t>
      </w:r>
      <w:r w:rsidR="00A80AAA" w:rsidRPr="01EB8908">
        <w:rPr>
          <w:u w:val="single"/>
        </w:rPr>
        <w:t xml:space="preserve">                                                                            </w:t>
      </w:r>
      <w:r w:rsidR="503849D0" w:rsidRPr="01EB8908">
        <w:rPr>
          <w:u w:val="single"/>
        </w:rPr>
        <w:t xml:space="preserve">              </w:t>
      </w:r>
      <w:r w:rsidR="00A80AAA" w:rsidRPr="01EB8908">
        <w:rPr>
          <w:u w:val="single"/>
        </w:rPr>
        <w:t xml:space="preserve">            </w:t>
      </w:r>
      <w:r w:rsidR="61BF83B8" w:rsidRPr="01EB8908">
        <w:rPr>
          <w:u w:val="single"/>
        </w:rPr>
        <w:t xml:space="preserve"> </w:t>
      </w:r>
      <w:r w:rsidR="00A80AAA" w:rsidRPr="01EB8908">
        <w:rPr>
          <w:u w:val="single"/>
        </w:rPr>
        <w:t xml:space="preserve">  </w:t>
      </w:r>
      <w:r w:rsidR="5C914527" w:rsidRPr="01EB8908">
        <w:rPr>
          <w:u w:val="single"/>
        </w:rPr>
        <w:t xml:space="preserve"> </w:t>
      </w:r>
      <w:r w:rsidR="16D89245" w:rsidRPr="01EB8908">
        <w:rPr>
          <w:u w:val="single"/>
        </w:rPr>
        <w:t xml:space="preserve"> </w:t>
      </w:r>
      <w:r w:rsidR="00A80AAA" w:rsidRPr="01EB8908">
        <w:rPr>
          <w:u w:val="single"/>
        </w:rPr>
        <w:t xml:space="preserve">  </w:t>
      </w:r>
      <w:r w:rsidR="1F096C36">
        <w:t>7</w:t>
      </w:r>
    </w:p>
    <w:p w14:paraId="387AF695" w14:textId="289B1F3E" w:rsidR="00A80AAA" w:rsidRPr="00336BF7" w:rsidRDefault="1F096C36" w:rsidP="01EB8908">
      <w:pPr>
        <w:pStyle w:val="ListParagraph"/>
        <w:numPr>
          <w:ilvl w:val="1"/>
          <w:numId w:val="2"/>
        </w:numPr>
      </w:pPr>
      <w:r>
        <w:t xml:space="preserve">1 Samuel </w:t>
      </w:r>
      <w:r w:rsidR="00A80AAA">
        <w:t>2</w:t>
      </w:r>
      <w:r w:rsidR="00A80AAA" w:rsidRPr="01EB8908">
        <w:rPr>
          <w:u w:val="single"/>
        </w:rPr>
        <w:t xml:space="preserve">                                                                                                           </w:t>
      </w:r>
      <w:r w:rsidR="7E557842" w:rsidRPr="01EB8908">
        <w:rPr>
          <w:u w:val="single"/>
        </w:rPr>
        <w:t xml:space="preserve">  </w:t>
      </w:r>
      <w:r w:rsidR="7E557842">
        <w:t>8</w:t>
      </w:r>
    </w:p>
    <w:p w14:paraId="60528419" w14:textId="268AE65A" w:rsidR="00A80AAA" w:rsidRPr="00336BF7" w:rsidRDefault="21E44C74" w:rsidP="01EB8908">
      <w:pPr>
        <w:pStyle w:val="ListParagraph"/>
        <w:numPr>
          <w:ilvl w:val="1"/>
          <w:numId w:val="2"/>
        </w:numPr>
      </w:pPr>
      <w:r>
        <w:t xml:space="preserve">1 Samuel </w:t>
      </w:r>
      <w:r w:rsidR="00A80AAA">
        <w:t>3</w:t>
      </w:r>
      <w:r w:rsidR="00A80AAA" w:rsidRPr="01EB8908">
        <w:rPr>
          <w:u w:val="single"/>
        </w:rPr>
        <w:t xml:space="preserve">                                                                                                           </w:t>
      </w:r>
      <w:r w:rsidR="68673570" w:rsidRPr="01EB8908">
        <w:rPr>
          <w:u w:val="single"/>
        </w:rPr>
        <w:t xml:space="preserve">  </w:t>
      </w:r>
      <w:r w:rsidR="68673570">
        <w:t>9</w:t>
      </w:r>
    </w:p>
    <w:p w14:paraId="58A2A858" w14:textId="63CC0276" w:rsidR="00A80AAA" w:rsidRPr="00336BF7" w:rsidRDefault="1272D37A" w:rsidP="01EB8908">
      <w:pPr>
        <w:pStyle w:val="ListParagraph"/>
        <w:numPr>
          <w:ilvl w:val="1"/>
          <w:numId w:val="2"/>
        </w:numPr>
        <w:rPr>
          <w:u w:val="single"/>
        </w:rPr>
      </w:pPr>
      <w:r>
        <w:t xml:space="preserve">1 Samuel </w:t>
      </w:r>
      <w:r w:rsidR="00A80AAA">
        <w:t>4</w:t>
      </w:r>
      <w:r w:rsidR="00A80AAA" w:rsidRPr="01EB8908">
        <w:rPr>
          <w:u w:val="single"/>
        </w:rPr>
        <w:t xml:space="preserve">                                                                                                           </w:t>
      </w:r>
      <w:r w:rsidR="0273FF84" w:rsidRPr="01EB8908">
        <w:rPr>
          <w:u w:val="single"/>
        </w:rPr>
        <w:t xml:space="preserve">  </w:t>
      </w:r>
      <w:r w:rsidR="0273FF84">
        <w:t>9</w:t>
      </w:r>
    </w:p>
    <w:p w14:paraId="73211C12" w14:textId="361A1108" w:rsidR="00A80AAA" w:rsidRPr="00336BF7" w:rsidRDefault="000D5574" w:rsidP="01EB8908">
      <w:pPr>
        <w:pStyle w:val="ListParagraph"/>
        <w:numPr>
          <w:ilvl w:val="1"/>
          <w:numId w:val="2"/>
        </w:numPr>
      </w:pPr>
      <w:r>
        <w:t xml:space="preserve">1 Samuel </w:t>
      </w:r>
      <w:r w:rsidR="00A80AAA">
        <w:t>5</w:t>
      </w:r>
      <w:r w:rsidR="00A80AAA" w:rsidRPr="01EB8908">
        <w:rPr>
          <w:u w:val="single"/>
        </w:rPr>
        <w:t xml:space="preserve">                                                                                                           </w:t>
      </w:r>
      <w:r w:rsidR="00A80AAA">
        <w:t>1</w:t>
      </w:r>
      <w:r w:rsidR="166DF0F1">
        <w:t>0</w:t>
      </w:r>
    </w:p>
    <w:p w14:paraId="583ED227" w14:textId="1577DF5D" w:rsidR="00A80AAA" w:rsidRPr="00336BF7" w:rsidRDefault="1F7A90B1" w:rsidP="01EB8908">
      <w:pPr>
        <w:pStyle w:val="ListParagraph"/>
        <w:numPr>
          <w:ilvl w:val="1"/>
          <w:numId w:val="2"/>
        </w:numPr>
      </w:pPr>
      <w:r>
        <w:t xml:space="preserve">1 Samuel </w:t>
      </w:r>
      <w:r w:rsidR="00A80AAA">
        <w:t>6</w:t>
      </w:r>
      <w:r w:rsidR="00A80AAA" w:rsidRPr="01EB8908">
        <w:rPr>
          <w:u w:val="single"/>
        </w:rPr>
        <w:t xml:space="preserve">                                                                                                           </w:t>
      </w:r>
      <w:r w:rsidR="00A80AAA">
        <w:t>1</w:t>
      </w:r>
      <w:r w:rsidR="3AB24E51">
        <w:t>1</w:t>
      </w:r>
    </w:p>
    <w:p w14:paraId="7D11067E" w14:textId="228B783D" w:rsidR="00A80AAA" w:rsidRPr="00336BF7" w:rsidRDefault="33B4FB63" w:rsidP="01EB8908">
      <w:pPr>
        <w:pStyle w:val="ListParagraph"/>
        <w:numPr>
          <w:ilvl w:val="1"/>
          <w:numId w:val="2"/>
        </w:numPr>
      </w:pPr>
      <w:r>
        <w:t xml:space="preserve">1 Samuel </w:t>
      </w:r>
      <w:r w:rsidR="00A80AAA">
        <w:t>7</w:t>
      </w:r>
      <w:r w:rsidR="00A80AAA" w:rsidRPr="01EB8908">
        <w:rPr>
          <w:u w:val="single"/>
        </w:rPr>
        <w:t xml:space="preserve">                                                                                                           </w:t>
      </w:r>
      <w:r w:rsidR="00A80AAA">
        <w:t>1</w:t>
      </w:r>
      <w:r w:rsidR="7077D5E3">
        <w:t>2</w:t>
      </w:r>
    </w:p>
    <w:p w14:paraId="1133184C" w14:textId="23EE5C4A" w:rsidR="00A80AAA" w:rsidRPr="00336BF7" w:rsidRDefault="3516F17C" w:rsidP="01EB8908">
      <w:pPr>
        <w:pStyle w:val="ListParagraph"/>
        <w:numPr>
          <w:ilvl w:val="1"/>
          <w:numId w:val="2"/>
        </w:numPr>
      </w:pPr>
      <w:r>
        <w:t xml:space="preserve">1 Samuel </w:t>
      </w:r>
      <w:r w:rsidR="00A80AAA">
        <w:t>8</w:t>
      </w:r>
      <w:r w:rsidR="00A80AAA" w:rsidRPr="01EB8908">
        <w:rPr>
          <w:u w:val="single"/>
        </w:rPr>
        <w:t xml:space="preserve">                                                                                                           </w:t>
      </w:r>
      <w:r w:rsidR="00A80AAA">
        <w:t>1</w:t>
      </w:r>
      <w:r w:rsidR="2415C42B">
        <w:t>2</w:t>
      </w:r>
    </w:p>
    <w:p w14:paraId="7037CD49" w14:textId="54D14D63" w:rsidR="00A80AAA" w:rsidRPr="00336BF7" w:rsidRDefault="2E5CF387" w:rsidP="01EB8908">
      <w:pPr>
        <w:pStyle w:val="ListParagraph"/>
        <w:numPr>
          <w:ilvl w:val="1"/>
          <w:numId w:val="2"/>
        </w:numPr>
      </w:pPr>
      <w:r>
        <w:t xml:space="preserve">1 Samuel </w:t>
      </w:r>
      <w:r w:rsidR="00A80AAA">
        <w:t>9</w:t>
      </w:r>
      <w:r w:rsidR="00A80AAA" w:rsidRPr="01EB8908">
        <w:rPr>
          <w:u w:val="single"/>
        </w:rPr>
        <w:t xml:space="preserve">                                                                                                           </w:t>
      </w:r>
      <w:r w:rsidR="00A80AAA">
        <w:t>1</w:t>
      </w:r>
      <w:r w:rsidR="05DFB78B">
        <w:t>3</w:t>
      </w:r>
    </w:p>
    <w:p w14:paraId="27CB53C5" w14:textId="105E39F7" w:rsidR="00A80AAA" w:rsidRPr="00336BF7" w:rsidRDefault="2A8BE307" w:rsidP="01EB8908">
      <w:pPr>
        <w:pStyle w:val="ListParagraph"/>
        <w:numPr>
          <w:ilvl w:val="1"/>
          <w:numId w:val="2"/>
        </w:numPr>
      </w:pPr>
      <w:r>
        <w:t xml:space="preserve">1 Samuel </w:t>
      </w:r>
      <w:r w:rsidR="00A80AAA">
        <w:t>10</w:t>
      </w:r>
      <w:r w:rsidR="00A80AAA" w:rsidRPr="01EB8908">
        <w:rPr>
          <w:u w:val="single"/>
        </w:rPr>
        <w:t xml:space="preserve">                                                                                                         </w:t>
      </w:r>
      <w:r w:rsidR="00A80AAA">
        <w:t>1</w:t>
      </w:r>
      <w:r w:rsidR="63F69299">
        <w:t>3</w:t>
      </w:r>
    </w:p>
    <w:p w14:paraId="3E5975EC" w14:textId="440E1082" w:rsidR="00A80AAA" w:rsidRPr="00336BF7" w:rsidRDefault="23B225F1" w:rsidP="01EB8908">
      <w:pPr>
        <w:pStyle w:val="ListParagraph"/>
        <w:numPr>
          <w:ilvl w:val="1"/>
          <w:numId w:val="2"/>
        </w:numPr>
      </w:pPr>
      <w:r>
        <w:t xml:space="preserve">1 Samuel </w:t>
      </w:r>
      <w:r w:rsidR="00A80AAA">
        <w:t>11</w:t>
      </w:r>
      <w:r w:rsidR="00A80AAA" w:rsidRPr="01EB8908">
        <w:rPr>
          <w:u w:val="single"/>
        </w:rPr>
        <w:t xml:space="preserve">                                                                                                         </w:t>
      </w:r>
      <w:r w:rsidR="00A80AAA">
        <w:t>1</w:t>
      </w:r>
      <w:r w:rsidR="4D61DF5B">
        <w:t>4</w:t>
      </w:r>
    </w:p>
    <w:p w14:paraId="090DB1E9" w14:textId="5EBE102E" w:rsidR="00A80AAA" w:rsidRPr="00336BF7" w:rsidRDefault="1696BCEF" w:rsidP="01EB8908">
      <w:pPr>
        <w:pStyle w:val="ListParagraph"/>
        <w:numPr>
          <w:ilvl w:val="1"/>
          <w:numId w:val="2"/>
        </w:numPr>
      </w:pPr>
      <w:r>
        <w:t xml:space="preserve">1 Samuel </w:t>
      </w:r>
      <w:r w:rsidR="00A80AAA">
        <w:t>12</w:t>
      </w:r>
      <w:r w:rsidR="00A80AAA" w:rsidRPr="01EB8908">
        <w:rPr>
          <w:u w:val="single"/>
        </w:rPr>
        <w:t xml:space="preserve">                                                                                                         </w:t>
      </w:r>
      <w:r w:rsidR="71094A96">
        <w:t>15</w:t>
      </w:r>
    </w:p>
    <w:p w14:paraId="6D6EDC95" w14:textId="404FA21C" w:rsidR="00A80AAA" w:rsidRPr="00336BF7" w:rsidRDefault="550E872A" w:rsidP="01EB8908">
      <w:pPr>
        <w:pStyle w:val="ListParagraph"/>
        <w:numPr>
          <w:ilvl w:val="1"/>
          <w:numId w:val="2"/>
        </w:numPr>
        <w:rPr>
          <w:u w:val="single"/>
        </w:rPr>
      </w:pPr>
      <w:r>
        <w:t xml:space="preserve">1 Samuel </w:t>
      </w:r>
      <w:r w:rsidR="00A80AAA">
        <w:t>13</w:t>
      </w:r>
      <w:r w:rsidR="00A80AAA" w:rsidRPr="01EB8908">
        <w:rPr>
          <w:u w:val="single"/>
        </w:rPr>
        <w:t xml:space="preserve">                                                                                                         </w:t>
      </w:r>
      <w:r w:rsidR="19B33665">
        <w:t>15</w:t>
      </w:r>
    </w:p>
    <w:p w14:paraId="51112F06" w14:textId="7199C456" w:rsidR="00A80AAA" w:rsidRPr="00336BF7" w:rsidRDefault="1435FC86" w:rsidP="01EB8908">
      <w:pPr>
        <w:pStyle w:val="ListParagraph"/>
        <w:numPr>
          <w:ilvl w:val="1"/>
          <w:numId w:val="2"/>
        </w:numPr>
        <w:rPr>
          <w:u w:val="single"/>
        </w:rPr>
      </w:pPr>
      <w:r>
        <w:t xml:space="preserve">1 Samuel </w:t>
      </w:r>
      <w:r w:rsidR="00A80AAA">
        <w:t>14</w:t>
      </w:r>
      <w:r w:rsidR="00A80AAA" w:rsidRPr="01EB8908">
        <w:rPr>
          <w:u w:val="single"/>
        </w:rPr>
        <w:t xml:space="preserve">                                                                                                         </w:t>
      </w:r>
      <w:r w:rsidR="1FB6D02A">
        <w:t>15</w:t>
      </w:r>
    </w:p>
    <w:p w14:paraId="1B45CC6D" w14:textId="227FE1C3" w:rsidR="00A80AAA" w:rsidRPr="00336BF7" w:rsidRDefault="45570BF5" w:rsidP="01EB8908">
      <w:pPr>
        <w:pStyle w:val="ListParagraph"/>
        <w:numPr>
          <w:ilvl w:val="1"/>
          <w:numId w:val="2"/>
        </w:numPr>
        <w:rPr>
          <w:u w:val="single"/>
        </w:rPr>
      </w:pPr>
      <w:r>
        <w:t xml:space="preserve">1 Samuel </w:t>
      </w:r>
      <w:r w:rsidR="00A80AAA">
        <w:t>15</w:t>
      </w:r>
      <w:r w:rsidR="00A80AAA" w:rsidRPr="01EB8908">
        <w:rPr>
          <w:u w:val="single"/>
        </w:rPr>
        <w:t xml:space="preserve">                                                                                                         </w:t>
      </w:r>
      <w:r w:rsidR="79573382">
        <w:t>16</w:t>
      </w:r>
    </w:p>
    <w:p w14:paraId="5FC043DE" w14:textId="63E8441E" w:rsidR="00A80AAA" w:rsidRPr="00336BF7" w:rsidRDefault="6ECFBFCE" w:rsidP="01EB8908">
      <w:pPr>
        <w:pStyle w:val="ListParagraph"/>
        <w:numPr>
          <w:ilvl w:val="1"/>
          <w:numId w:val="2"/>
        </w:numPr>
        <w:rPr>
          <w:u w:val="single"/>
        </w:rPr>
      </w:pPr>
      <w:r>
        <w:t xml:space="preserve">1 Samuel </w:t>
      </w:r>
      <w:r w:rsidR="00A80AAA">
        <w:t>16</w:t>
      </w:r>
      <w:r w:rsidR="00A80AAA" w:rsidRPr="01EB8908">
        <w:rPr>
          <w:u w:val="single"/>
        </w:rPr>
        <w:t xml:space="preserve">                                                                                                         </w:t>
      </w:r>
      <w:r w:rsidR="757D97D2">
        <w:t>16</w:t>
      </w:r>
    </w:p>
    <w:p w14:paraId="6DF8866B" w14:textId="5C4EFC7D" w:rsidR="00A80AAA" w:rsidRPr="00336BF7" w:rsidRDefault="329D2807" w:rsidP="01EB8908">
      <w:pPr>
        <w:pStyle w:val="ListParagraph"/>
        <w:numPr>
          <w:ilvl w:val="1"/>
          <w:numId w:val="2"/>
        </w:numPr>
        <w:rPr>
          <w:u w:val="single"/>
        </w:rPr>
      </w:pPr>
      <w:r>
        <w:t xml:space="preserve">1 Samuel </w:t>
      </w:r>
      <w:r w:rsidR="00A80AAA">
        <w:t>17</w:t>
      </w:r>
      <w:r w:rsidR="00A80AAA" w:rsidRPr="01EB8908">
        <w:rPr>
          <w:u w:val="single"/>
        </w:rPr>
        <w:t xml:space="preserve">                                                                                                         </w:t>
      </w:r>
      <w:r w:rsidR="26D1EDB2">
        <w:t>17</w:t>
      </w:r>
    </w:p>
    <w:p w14:paraId="7249B0DA" w14:textId="37F875A0" w:rsidR="00A80AAA" w:rsidRPr="00336BF7" w:rsidRDefault="329D2807" w:rsidP="01EB8908">
      <w:pPr>
        <w:pStyle w:val="ListParagraph"/>
        <w:numPr>
          <w:ilvl w:val="1"/>
          <w:numId w:val="2"/>
        </w:numPr>
      </w:pPr>
      <w:r>
        <w:t xml:space="preserve">1 Samuel </w:t>
      </w:r>
      <w:r w:rsidR="00A80AAA">
        <w:t>18</w:t>
      </w:r>
      <w:r w:rsidR="00A80AAA" w:rsidRPr="01EB8908">
        <w:rPr>
          <w:u w:val="single"/>
        </w:rPr>
        <w:t xml:space="preserve">                                                                                                         </w:t>
      </w:r>
      <w:r w:rsidR="08F270D4">
        <w:t>18</w:t>
      </w:r>
    </w:p>
    <w:p w14:paraId="10129050" w14:textId="7AD7FCAE" w:rsidR="00A80AAA" w:rsidRPr="00336BF7" w:rsidRDefault="56E7E0E0" w:rsidP="01EB8908">
      <w:pPr>
        <w:pStyle w:val="ListParagraph"/>
        <w:numPr>
          <w:ilvl w:val="1"/>
          <w:numId w:val="2"/>
        </w:numPr>
        <w:rPr>
          <w:u w:val="single"/>
        </w:rPr>
      </w:pPr>
      <w:r>
        <w:t xml:space="preserve">1 Samuel </w:t>
      </w:r>
      <w:r w:rsidR="00A80AAA">
        <w:t>19</w:t>
      </w:r>
      <w:r w:rsidR="00A80AAA" w:rsidRPr="01EB8908">
        <w:rPr>
          <w:u w:val="single"/>
        </w:rPr>
        <w:t xml:space="preserve">                                                                                                         </w:t>
      </w:r>
      <w:r w:rsidR="4D3C9011">
        <w:t>19</w:t>
      </w:r>
    </w:p>
    <w:p w14:paraId="3336FCF1" w14:textId="1CABABF4" w:rsidR="00A80AAA" w:rsidRPr="00336BF7" w:rsidRDefault="402EB6FD" w:rsidP="01EB8908">
      <w:pPr>
        <w:pStyle w:val="ListParagraph"/>
        <w:numPr>
          <w:ilvl w:val="1"/>
          <w:numId w:val="2"/>
        </w:numPr>
      </w:pPr>
      <w:r>
        <w:t xml:space="preserve">1 Samuel </w:t>
      </w:r>
      <w:r w:rsidR="00A80AAA">
        <w:t>20</w:t>
      </w:r>
      <w:r w:rsidR="00A80AAA" w:rsidRPr="01EB8908">
        <w:rPr>
          <w:u w:val="single"/>
        </w:rPr>
        <w:t xml:space="preserve">                                                                                                         </w:t>
      </w:r>
      <w:r w:rsidR="00A80AAA">
        <w:t>2</w:t>
      </w:r>
      <w:r w:rsidR="79DB65A4">
        <w:t>0</w:t>
      </w:r>
    </w:p>
    <w:p w14:paraId="5F928603" w14:textId="57710125" w:rsidR="00A80AAA" w:rsidRPr="00336BF7" w:rsidRDefault="3F561F76" w:rsidP="01EB8908">
      <w:pPr>
        <w:pStyle w:val="ListParagraph"/>
        <w:numPr>
          <w:ilvl w:val="1"/>
          <w:numId w:val="2"/>
        </w:numPr>
      </w:pPr>
      <w:r>
        <w:t xml:space="preserve">1 Samuel </w:t>
      </w:r>
      <w:r w:rsidR="00A80AAA">
        <w:t>21</w:t>
      </w:r>
      <w:r w:rsidR="00A80AAA" w:rsidRPr="01EB8908">
        <w:rPr>
          <w:u w:val="single"/>
        </w:rPr>
        <w:t xml:space="preserve">                                                                                                         </w:t>
      </w:r>
      <w:r w:rsidR="00A80AAA">
        <w:t>2</w:t>
      </w:r>
      <w:r w:rsidR="75DFBA14">
        <w:t>0</w:t>
      </w:r>
    </w:p>
    <w:p w14:paraId="6FD59456" w14:textId="50EC28A7" w:rsidR="3C2F159B" w:rsidRDefault="3C2F159B" w:rsidP="01EB8908">
      <w:pPr>
        <w:pStyle w:val="ListParagraph"/>
        <w:numPr>
          <w:ilvl w:val="1"/>
          <w:numId w:val="2"/>
        </w:numPr>
      </w:pPr>
      <w:r>
        <w:t>1 Samuel 22</w:t>
      </w:r>
      <w:r w:rsidRPr="01EB8908">
        <w:rPr>
          <w:u w:val="single"/>
        </w:rPr>
        <w:t xml:space="preserve">                                                                                                         </w:t>
      </w:r>
      <w:r w:rsidR="5A1980D7">
        <w:t>20</w:t>
      </w:r>
    </w:p>
    <w:p w14:paraId="53BBB947" w14:textId="4E71A05E" w:rsidR="3C2F159B" w:rsidRDefault="3C2F159B" w:rsidP="01EB8908">
      <w:pPr>
        <w:pStyle w:val="ListParagraph"/>
        <w:numPr>
          <w:ilvl w:val="1"/>
          <w:numId w:val="2"/>
        </w:numPr>
        <w:rPr>
          <w:u w:val="single"/>
        </w:rPr>
      </w:pPr>
      <w:r>
        <w:t>1 Samuel 23</w:t>
      </w:r>
      <w:r w:rsidRPr="01EB8908">
        <w:rPr>
          <w:u w:val="single"/>
        </w:rPr>
        <w:t xml:space="preserve">                                                                                                         </w:t>
      </w:r>
      <w:r w:rsidR="6E0133A8">
        <w:t>21</w:t>
      </w:r>
    </w:p>
    <w:p w14:paraId="4DD4972B" w14:textId="1DCAF286" w:rsidR="3C2F159B" w:rsidRDefault="3C2F159B" w:rsidP="01EB8908">
      <w:pPr>
        <w:pStyle w:val="ListParagraph"/>
        <w:numPr>
          <w:ilvl w:val="1"/>
          <w:numId w:val="2"/>
        </w:numPr>
        <w:rPr>
          <w:u w:val="single"/>
        </w:rPr>
      </w:pPr>
      <w:r>
        <w:t>1 Samuel 24</w:t>
      </w:r>
      <w:r w:rsidRPr="01EB8908">
        <w:rPr>
          <w:u w:val="single"/>
        </w:rPr>
        <w:t xml:space="preserve">                                                                                                         </w:t>
      </w:r>
      <w:r w:rsidR="6CD509D3">
        <w:t>21</w:t>
      </w:r>
    </w:p>
    <w:p w14:paraId="587B9D2E" w14:textId="1166409C" w:rsidR="3C2F159B" w:rsidRDefault="3C2F159B" w:rsidP="01EB8908">
      <w:pPr>
        <w:pStyle w:val="ListParagraph"/>
        <w:numPr>
          <w:ilvl w:val="1"/>
          <w:numId w:val="2"/>
        </w:numPr>
        <w:rPr>
          <w:u w:val="single"/>
        </w:rPr>
      </w:pPr>
      <w:r>
        <w:t xml:space="preserve">1 Samuel 25 </w:t>
      </w:r>
      <w:r w:rsidRPr="01EB8908">
        <w:rPr>
          <w:u w:val="single"/>
        </w:rPr>
        <w:t xml:space="preserve">                                                                                                        </w:t>
      </w:r>
      <w:r w:rsidR="4631E50D">
        <w:t>22</w:t>
      </w:r>
    </w:p>
    <w:p w14:paraId="1A69EF7C" w14:textId="60E78AE7" w:rsidR="3C2F159B" w:rsidRDefault="3C2F159B" w:rsidP="01EB8908">
      <w:pPr>
        <w:pStyle w:val="ListParagraph"/>
        <w:numPr>
          <w:ilvl w:val="1"/>
          <w:numId w:val="2"/>
        </w:numPr>
        <w:rPr>
          <w:u w:val="single"/>
        </w:rPr>
      </w:pPr>
      <w:r>
        <w:t>1 Samuel 26</w:t>
      </w:r>
      <w:r w:rsidRPr="01EB8908">
        <w:rPr>
          <w:u w:val="single"/>
        </w:rPr>
        <w:t xml:space="preserve">                                                                                                         </w:t>
      </w:r>
      <w:r w:rsidR="50956F13">
        <w:t>22</w:t>
      </w:r>
    </w:p>
    <w:p w14:paraId="38D6D806" w14:textId="58585057" w:rsidR="3C2F159B" w:rsidRDefault="3C2F159B" w:rsidP="01EB8908">
      <w:pPr>
        <w:pStyle w:val="ListParagraph"/>
        <w:numPr>
          <w:ilvl w:val="1"/>
          <w:numId w:val="2"/>
        </w:numPr>
        <w:rPr>
          <w:u w:val="single"/>
        </w:rPr>
      </w:pPr>
      <w:r>
        <w:t>1 Samuel 27</w:t>
      </w:r>
      <w:r w:rsidRPr="01EB8908">
        <w:rPr>
          <w:u w:val="single"/>
        </w:rPr>
        <w:t xml:space="preserve">                                                                                                         </w:t>
      </w:r>
      <w:r w:rsidR="50956F13">
        <w:t>22</w:t>
      </w:r>
    </w:p>
    <w:p w14:paraId="71C0E82B" w14:textId="54A5EEF9" w:rsidR="3C2F159B" w:rsidRDefault="3C2F159B" w:rsidP="01EB8908">
      <w:pPr>
        <w:pStyle w:val="ListParagraph"/>
        <w:numPr>
          <w:ilvl w:val="1"/>
          <w:numId w:val="2"/>
        </w:numPr>
        <w:rPr>
          <w:u w:val="single"/>
        </w:rPr>
      </w:pPr>
      <w:r>
        <w:t>1 Samuel 28</w:t>
      </w:r>
      <w:r w:rsidRPr="01EB8908">
        <w:rPr>
          <w:u w:val="single"/>
        </w:rPr>
        <w:t xml:space="preserve">                                                                                                         </w:t>
      </w:r>
      <w:r w:rsidR="02E9F88C">
        <w:t>23</w:t>
      </w:r>
    </w:p>
    <w:p w14:paraId="70E48F23" w14:textId="51ED5A38" w:rsidR="3C2F159B" w:rsidRDefault="3C2F159B" w:rsidP="01EB8908">
      <w:pPr>
        <w:pStyle w:val="ListParagraph"/>
        <w:numPr>
          <w:ilvl w:val="1"/>
          <w:numId w:val="2"/>
        </w:numPr>
      </w:pPr>
      <w:r>
        <w:t>1 Samuel 29</w:t>
      </w:r>
      <w:r w:rsidRPr="01EB8908">
        <w:rPr>
          <w:u w:val="single"/>
        </w:rPr>
        <w:t xml:space="preserve">                                                                                                         </w:t>
      </w:r>
      <w:r w:rsidR="551EB367">
        <w:t>24</w:t>
      </w:r>
    </w:p>
    <w:p w14:paraId="46702C69" w14:textId="097BDBB3" w:rsidR="3C2F159B" w:rsidRDefault="3C2F159B" w:rsidP="01EB8908">
      <w:pPr>
        <w:pStyle w:val="ListParagraph"/>
        <w:numPr>
          <w:ilvl w:val="1"/>
          <w:numId w:val="2"/>
        </w:numPr>
      </w:pPr>
      <w:r>
        <w:t>1 Samuel 30</w:t>
      </w:r>
      <w:r w:rsidRPr="01EB8908">
        <w:rPr>
          <w:u w:val="single"/>
        </w:rPr>
        <w:t xml:space="preserve">                                                                                                         </w:t>
      </w:r>
      <w:r w:rsidR="19DAAA19">
        <w:t>24</w:t>
      </w:r>
    </w:p>
    <w:p w14:paraId="32F095C2" w14:textId="4F766760" w:rsidR="3C2F159B" w:rsidRDefault="3C2F159B" w:rsidP="01EB8908">
      <w:pPr>
        <w:pStyle w:val="ListParagraph"/>
        <w:numPr>
          <w:ilvl w:val="1"/>
          <w:numId w:val="2"/>
        </w:numPr>
        <w:rPr>
          <w:u w:val="single"/>
        </w:rPr>
      </w:pPr>
      <w:r>
        <w:t>1 Samuel 31</w:t>
      </w:r>
      <w:r w:rsidRPr="01EB8908">
        <w:rPr>
          <w:u w:val="single"/>
        </w:rPr>
        <w:t xml:space="preserve">                                                                                                         </w:t>
      </w:r>
      <w:r w:rsidR="6E8565CA">
        <w:t>24</w:t>
      </w:r>
    </w:p>
    <w:p w14:paraId="4DD29A4F" w14:textId="35088278" w:rsidR="39C65C41" w:rsidRDefault="39C65C41" w:rsidP="01EB8908">
      <w:pPr>
        <w:pStyle w:val="ListParagraph"/>
        <w:numPr>
          <w:ilvl w:val="0"/>
          <w:numId w:val="3"/>
        </w:numPr>
        <w:rPr>
          <w:u w:val="single"/>
        </w:rPr>
      </w:pPr>
      <w:r>
        <w:t>Background Information for Each Chapter of 2 Samuel</w:t>
      </w:r>
      <w:r w:rsidRPr="01EB8908">
        <w:rPr>
          <w:u w:val="single"/>
        </w:rPr>
        <w:t xml:space="preserve">                           </w:t>
      </w:r>
      <w:r w:rsidR="5833AD13" w:rsidRPr="01EB8908">
        <w:rPr>
          <w:u w:val="single"/>
        </w:rPr>
        <w:t xml:space="preserve">  </w:t>
      </w:r>
      <w:r w:rsidR="2F637ED5" w:rsidRPr="01EB8908">
        <w:rPr>
          <w:u w:val="single"/>
        </w:rPr>
        <w:t xml:space="preserve"> </w:t>
      </w:r>
      <w:r w:rsidR="5833AD13" w:rsidRPr="01EB8908">
        <w:rPr>
          <w:u w:val="single"/>
        </w:rPr>
        <w:t xml:space="preserve">           </w:t>
      </w:r>
      <w:r w:rsidRPr="01EB8908">
        <w:rPr>
          <w:u w:val="single"/>
        </w:rPr>
        <w:t xml:space="preserve">       </w:t>
      </w:r>
      <w:r w:rsidR="19C8F700" w:rsidRPr="01EB8908">
        <w:rPr>
          <w:u w:val="single"/>
        </w:rPr>
        <w:t xml:space="preserve"> </w:t>
      </w:r>
      <w:r w:rsidR="6D372C15">
        <w:t>25</w:t>
      </w:r>
    </w:p>
    <w:p w14:paraId="52CE9503" w14:textId="7E80C878" w:rsidR="288DF825" w:rsidRDefault="288DF825" w:rsidP="01EB8908">
      <w:pPr>
        <w:pStyle w:val="ListParagraph"/>
        <w:numPr>
          <w:ilvl w:val="1"/>
          <w:numId w:val="1"/>
        </w:numPr>
      </w:pPr>
      <w:r>
        <w:t>2 Samuel 1</w:t>
      </w:r>
      <w:r w:rsidRPr="01EB8908">
        <w:rPr>
          <w:u w:val="single"/>
        </w:rPr>
        <w:t xml:space="preserve">                                                                                                </w:t>
      </w:r>
      <w:r w:rsidR="59F522E5" w:rsidRPr="01EB8908">
        <w:rPr>
          <w:u w:val="single"/>
        </w:rPr>
        <w:t xml:space="preserve"> </w:t>
      </w:r>
      <w:r w:rsidRPr="01EB8908">
        <w:rPr>
          <w:u w:val="single"/>
        </w:rPr>
        <w:t xml:space="preserve">  </w:t>
      </w:r>
      <w:r w:rsidR="5A20D309" w:rsidRPr="01EB8908">
        <w:rPr>
          <w:u w:val="single"/>
        </w:rPr>
        <w:t xml:space="preserve"> </w:t>
      </w:r>
      <w:r w:rsidRPr="01EB8908">
        <w:rPr>
          <w:u w:val="single"/>
        </w:rPr>
        <w:t xml:space="preserve">      </w:t>
      </w:r>
      <w:r w:rsidR="6922727E" w:rsidRPr="01EB8908">
        <w:rPr>
          <w:u w:val="single"/>
        </w:rPr>
        <w:t xml:space="preserve"> </w:t>
      </w:r>
      <w:r w:rsidR="054FA4C4">
        <w:t>25</w:t>
      </w:r>
    </w:p>
    <w:p w14:paraId="52A1A0A5" w14:textId="698AB40D" w:rsidR="288DF825" w:rsidRDefault="288DF825" w:rsidP="01EB8908">
      <w:pPr>
        <w:pStyle w:val="ListParagraph"/>
        <w:numPr>
          <w:ilvl w:val="1"/>
          <w:numId w:val="1"/>
        </w:numPr>
      </w:pPr>
      <w:r>
        <w:t>2 Samuel 2</w:t>
      </w:r>
      <w:r w:rsidRPr="01EB8908">
        <w:rPr>
          <w:u w:val="single"/>
        </w:rPr>
        <w:t xml:space="preserve">                                                                                                </w:t>
      </w:r>
      <w:r w:rsidR="59F522E5" w:rsidRPr="01EB8908">
        <w:rPr>
          <w:u w:val="single"/>
        </w:rPr>
        <w:t xml:space="preserve"> </w:t>
      </w:r>
      <w:r w:rsidRPr="01EB8908">
        <w:rPr>
          <w:u w:val="single"/>
        </w:rPr>
        <w:t xml:space="preserve">     </w:t>
      </w:r>
      <w:r w:rsidR="6F58B0F3" w:rsidRPr="01EB8908">
        <w:rPr>
          <w:u w:val="single"/>
        </w:rPr>
        <w:t xml:space="preserve"> </w:t>
      </w:r>
      <w:r w:rsidRPr="01EB8908">
        <w:rPr>
          <w:u w:val="single"/>
        </w:rPr>
        <w:t xml:space="preserve">   </w:t>
      </w:r>
      <w:r w:rsidR="6922727E" w:rsidRPr="01EB8908">
        <w:rPr>
          <w:u w:val="single"/>
        </w:rPr>
        <w:t xml:space="preserve"> </w:t>
      </w:r>
      <w:r w:rsidR="3C42CC87">
        <w:t>26</w:t>
      </w:r>
    </w:p>
    <w:p w14:paraId="209E8159" w14:textId="1FAD116A" w:rsidR="288DF825" w:rsidRDefault="288DF825" w:rsidP="01EB8908">
      <w:pPr>
        <w:pStyle w:val="ListParagraph"/>
        <w:numPr>
          <w:ilvl w:val="1"/>
          <w:numId w:val="1"/>
        </w:numPr>
      </w:pPr>
      <w:r>
        <w:t>2 Samuel 3</w:t>
      </w:r>
      <w:r w:rsidRPr="01EB8908">
        <w:rPr>
          <w:u w:val="single"/>
        </w:rPr>
        <w:t xml:space="preserve">                                                                                               </w:t>
      </w:r>
      <w:r w:rsidR="5A40F48B" w:rsidRPr="01EB8908">
        <w:rPr>
          <w:u w:val="single"/>
        </w:rPr>
        <w:t xml:space="preserve"> </w:t>
      </w:r>
      <w:r w:rsidRPr="01EB8908">
        <w:rPr>
          <w:u w:val="single"/>
        </w:rPr>
        <w:t xml:space="preserve">  </w:t>
      </w:r>
      <w:r w:rsidR="2D011F47" w:rsidRPr="01EB8908">
        <w:rPr>
          <w:u w:val="single"/>
        </w:rPr>
        <w:t xml:space="preserve"> </w:t>
      </w:r>
      <w:r w:rsidRPr="01EB8908">
        <w:rPr>
          <w:u w:val="single"/>
        </w:rPr>
        <w:t xml:space="preserve">       </w:t>
      </w:r>
      <w:r w:rsidR="079AAEC8" w:rsidRPr="01EB8908">
        <w:rPr>
          <w:u w:val="single"/>
        </w:rPr>
        <w:t xml:space="preserve"> </w:t>
      </w:r>
      <w:r w:rsidR="53655A56">
        <w:t>27</w:t>
      </w:r>
    </w:p>
    <w:p w14:paraId="6BFF7039" w14:textId="5557F1EA" w:rsidR="288DF825" w:rsidRDefault="288DF825" w:rsidP="01EB8908">
      <w:pPr>
        <w:pStyle w:val="ListParagraph"/>
        <w:numPr>
          <w:ilvl w:val="1"/>
          <w:numId w:val="1"/>
        </w:numPr>
      </w:pPr>
      <w:r>
        <w:lastRenderedPageBreak/>
        <w:t>2 Samuel 4</w:t>
      </w:r>
      <w:r w:rsidRPr="01EB8908">
        <w:rPr>
          <w:u w:val="single"/>
        </w:rPr>
        <w:t xml:space="preserve">                                                                                                </w:t>
      </w:r>
      <w:r w:rsidR="1AFEEC14" w:rsidRPr="01EB8908">
        <w:rPr>
          <w:u w:val="single"/>
        </w:rPr>
        <w:t xml:space="preserve"> </w:t>
      </w:r>
      <w:r w:rsidRPr="01EB8908">
        <w:rPr>
          <w:u w:val="single"/>
        </w:rPr>
        <w:t xml:space="preserve">         </w:t>
      </w:r>
      <w:r w:rsidR="079AAEC8" w:rsidRPr="01EB8908">
        <w:rPr>
          <w:u w:val="single"/>
        </w:rPr>
        <w:t xml:space="preserve"> </w:t>
      </w:r>
      <w:r w:rsidR="7ED5ECF2">
        <w:t>2</w:t>
      </w:r>
      <w:r w:rsidR="720D9B93">
        <w:t>8</w:t>
      </w:r>
    </w:p>
    <w:p w14:paraId="658C085A" w14:textId="2149BC1C" w:rsidR="288DF825" w:rsidRDefault="288DF825" w:rsidP="01EB8908">
      <w:pPr>
        <w:pStyle w:val="ListParagraph"/>
        <w:numPr>
          <w:ilvl w:val="1"/>
          <w:numId w:val="1"/>
        </w:numPr>
        <w:rPr>
          <w:u w:val="single"/>
        </w:rPr>
      </w:pPr>
      <w:r>
        <w:t>2 Samuel 5</w:t>
      </w:r>
      <w:r w:rsidRPr="01EB8908">
        <w:rPr>
          <w:u w:val="single"/>
        </w:rPr>
        <w:t xml:space="preserve">                                                                                             </w:t>
      </w:r>
      <w:r w:rsidR="1AFEEC14" w:rsidRPr="01EB8908">
        <w:rPr>
          <w:u w:val="single"/>
        </w:rPr>
        <w:t xml:space="preserve"> </w:t>
      </w:r>
      <w:r w:rsidRPr="01EB8908">
        <w:rPr>
          <w:u w:val="single"/>
        </w:rPr>
        <w:t xml:space="preserve">            </w:t>
      </w:r>
      <w:r w:rsidR="38C4B473" w:rsidRPr="01EB8908">
        <w:rPr>
          <w:u w:val="single"/>
        </w:rPr>
        <w:t xml:space="preserve"> </w:t>
      </w:r>
      <w:r w:rsidR="04FFF7F9">
        <w:t>29</w:t>
      </w:r>
    </w:p>
    <w:p w14:paraId="318C9E4C" w14:textId="2EA8AF51" w:rsidR="288DF825" w:rsidRDefault="288DF825" w:rsidP="01EB8908">
      <w:pPr>
        <w:pStyle w:val="ListParagraph"/>
        <w:numPr>
          <w:ilvl w:val="1"/>
          <w:numId w:val="1"/>
        </w:numPr>
        <w:rPr>
          <w:u w:val="single"/>
        </w:rPr>
      </w:pPr>
      <w:r>
        <w:t>2 Samuel 6</w:t>
      </w:r>
      <w:r w:rsidRPr="01EB8908">
        <w:rPr>
          <w:u w:val="single"/>
        </w:rPr>
        <w:t xml:space="preserve">                                                                                           </w:t>
      </w:r>
      <w:r w:rsidR="0F1B6A46" w:rsidRPr="01EB8908">
        <w:rPr>
          <w:u w:val="single"/>
        </w:rPr>
        <w:t xml:space="preserve"> </w:t>
      </w:r>
      <w:r w:rsidRPr="01EB8908">
        <w:rPr>
          <w:u w:val="single"/>
        </w:rPr>
        <w:t xml:space="preserve">              </w:t>
      </w:r>
      <w:r w:rsidR="38C4B473" w:rsidRPr="01EB8908">
        <w:rPr>
          <w:u w:val="single"/>
        </w:rPr>
        <w:t xml:space="preserve"> </w:t>
      </w:r>
      <w:r w:rsidR="75EC3072">
        <w:t>30</w:t>
      </w:r>
    </w:p>
    <w:p w14:paraId="79CB51AE" w14:textId="306811A0" w:rsidR="288DF825" w:rsidRDefault="288DF825" w:rsidP="01EB8908">
      <w:pPr>
        <w:pStyle w:val="ListParagraph"/>
        <w:numPr>
          <w:ilvl w:val="1"/>
          <w:numId w:val="1"/>
        </w:numPr>
        <w:rPr>
          <w:u w:val="single"/>
        </w:rPr>
      </w:pPr>
      <w:r>
        <w:t>2 Samuel 7</w:t>
      </w:r>
      <w:r w:rsidRPr="01EB8908">
        <w:rPr>
          <w:u w:val="single"/>
        </w:rPr>
        <w:t xml:space="preserve">                                                                                                         </w:t>
      </w:r>
      <w:r w:rsidR="533D3AE1">
        <w:t>31</w:t>
      </w:r>
    </w:p>
    <w:p w14:paraId="5842CD92" w14:textId="08907653" w:rsidR="288DF825" w:rsidRDefault="288DF825" w:rsidP="01EB8908">
      <w:pPr>
        <w:pStyle w:val="ListParagraph"/>
        <w:numPr>
          <w:ilvl w:val="1"/>
          <w:numId w:val="1"/>
        </w:numPr>
        <w:rPr>
          <w:u w:val="single"/>
        </w:rPr>
      </w:pPr>
      <w:r>
        <w:t>2 Samuel 8</w:t>
      </w:r>
      <w:r w:rsidRPr="01EB8908">
        <w:rPr>
          <w:u w:val="single"/>
        </w:rPr>
        <w:t xml:space="preserve">                                                                                                         </w:t>
      </w:r>
      <w:r w:rsidR="4C178086">
        <w:t>31</w:t>
      </w:r>
    </w:p>
    <w:p w14:paraId="0CA59B8B" w14:textId="63226003" w:rsidR="288DF825" w:rsidRDefault="288DF825" w:rsidP="01EB8908">
      <w:pPr>
        <w:pStyle w:val="ListParagraph"/>
        <w:numPr>
          <w:ilvl w:val="1"/>
          <w:numId w:val="1"/>
        </w:numPr>
        <w:rPr>
          <w:u w:val="single"/>
        </w:rPr>
      </w:pPr>
      <w:r>
        <w:t>2 Samuel 9</w:t>
      </w:r>
      <w:r w:rsidRPr="01EB8908">
        <w:rPr>
          <w:u w:val="single"/>
        </w:rPr>
        <w:t xml:space="preserve">                                                                                                         </w:t>
      </w:r>
      <w:r w:rsidR="15EF8346">
        <w:t>32</w:t>
      </w:r>
    </w:p>
    <w:p w14:paraId="02F66F6B" w14:textId="656533EF" w:rsidR="288DF825" w:rsidRDefault="288DF825" w:rsidP="01EB8908">
      <w:pPr>
        <w:pStyle w:val="ListParagraph"/>
        <w:numPr>
          <w:ilvl w:val="1"/>
          <w:numId w:val="1"/>
        </w:numPr>
        <w:rPr>
          <w:u w:val="single"/>
        </w:rPr>
      </w:pPr>
      <w:r>
        <w:t>2 Samuel 10</w:t>
      </w:r>
      <w:r w:rsidRPr="01EB8908">
        <w:rPr>
          <w:u w:val="single"/>
        </w:rPr>
        <w:t xml:space="preserve">                                                                                                       </w:t>
      </w:r>
      <w:r w:rsidR="62BCCBC8">
        <w:t>32</w:t>
      </w:r>
    </w:p>
    <w:p w14:paraId="34817FBE" w14:textId="6CA0F6B9" w:rsidR="288DF825" w:rsidRDefault="288DF825" w:rsidP="01EB8908">
      <w:pPr>
        <w:pStyle w:val="ListParagraph"/>
        <w:numPr>
          <w:ilvl w:val="1"/>
          <w:numId w:val="1"/>
        </w:numPr>
        <w:rPr>
          <w:u w:val="single"/>
        </w:rPr>
      </w:pPr>
      <w:r>
        <w:t>2 Samuel 11</w:t>
      </w:r>
      <w:r w:rsidRPr="01EB8908">
        <w:rPr>
          <w:u w:val="single"/>
        </w:rPr>
        <w:t xml:space="preserve">                                                                                                       </w:t>
      </w:r>
      <w:r w:rsidR="00B7F511">
        <w:t>33</w:t>
      </w:r>
    </w:p>
    <w:p w14:paraId="3FC6413D" w14:textId="1FB3469D" w:rsidR="288DF825" w:rsidRDefault="288DF825" w:rsidP="01EB8908">
      <w:pPr>
        <w:pStyle w:val="ListParagraph"/>
        <w:numPr>
          <w:ilvl w:val="1"/>
          <w:numId w:val="1"/>
        </w:numPr>
        <w:rPr>
          <w:u w:val="single"/>
        </w:rPr>
      </w:pPr>
      <w:r>
        <w:t>2 Samuel 12</w:t>
      </w:r>
      <w:r w:rsidRPr="01EB8908">
        <w:rPr>
          <w:u w:val="single"/>
        </w:rPr>
        <w:t xml:space="preserve">                                                                                                       </w:t>
      </w:r>
      <w:r w:rsidR="5F8C5987">
        <w:t>34</w:t>
      </w:r>
    </w:p>
    <w:p w14:paraId="6BADFA9D" w14:textId="27D50B76" w:rsidR="288DF825" w:rsidRDefault="288DF825" w:rsidP="01EB8908">
      <w:pPr>
        <w:pStyle w:val="ListParagraph"/>
        <w:numPr>
          <w:ilvl w:val="1"/>
          <w:numId w:val="1"/>
        </w:numPr>
        <w:rPr>
          <w:u w:val="single"/>
        </w:rPr>
      </w:pPr>
      <w:r>
        <w:t>2 Samuel 13</w:t>
      </w:r>
      <w:r w:rsidRPr="01EB8908">
        <w:rPr>
          <w:u w:val="single"/>
        </w:rPr>
        <w:t xml:space="preserve">                                                                                                       </w:t>
      </w:r>
      <w:r w:rsidR="077A5AF9">
        <w:t>35</w:t>
      </w:r>
    </w:p>
    <w:p w14:paraId="5CC270D8" w14:textId="05D1496A" w:rsidR="288DF825" w:rsidRDefault="288DF825" w:rsidP="01EB8908">
      <w:pPr>
        <w:pStyle w:val="ListParagraph"/>
        <w:numPr>
          <w:ilvl w:val="1"/>
          <w:numId w:val="1"/>
        </w:numPr>
        <w:rPr>
          <w:u w:val="single"/>
        </w:rPr>
      </w:pPr>
      <w:r>
        <w:t>2 Samuel 14</w:t>
      </w:r>
      <w:r w:rsidRPr="01EB8908">
        <w:rPr>
          <w:u w:val="single"/>
        </w:rPr>
        <w:t xml:space="preserve">                                                                                                       </w:t>
      </w:r>
      <w:r w:rsidR="607082A5">
        <w:t>35</w:t>
      </w:r>
    </w:p>
    <w:p w14:paraId="5FA1D271" w14:textId="75E63C8A" w:rsidR="288DF825" w:rsidRDefault="288DF825" w:rsidP="01EB8908">
      <w:pPr>
        <w:pStyle w:val="ListParagraph"/>
        <w:numPr>
          <w:ilvl w:val="1"/>
          <w:numId w:val="1"/>
        </w:numPr>
        <w:rPr>
          <w:u w:val="single"/>
        </w:rPr>
      </w:pPr>
      <w:r>
        <w:t>2 Samuel 15</w:t>
      </w:r>
      <w:r w:rsidRPr="01EB8908">
        <w:rPr>
          <w:u w:val="single"/>
        </w:rPr>
        <w:t xml:space="preserve">                                                                                                       </w:t>
      </w:r>
      <w:r w:rsidR="2CAD4938">
        <w:t>36</w:t>
      </w:r>
    </w:p>
    <w:p w14:paraId="4B87E215" w14:textId="511FA2A4" w:rsidR="288DF825" w:rsidRDefault="288DF825" w:rsidP="01EB8908">
      <w:pPr>
        <w:pStyle w:val="ListParagraph"/>
        <w:numPr>
          <w:ilvl w:val="1"/>
          <w:numId w:val="1"/>
        </w:numPr>
      </w:pPr>
      <w:r>
        <w:t>2 Samuel 16</w:t>
      </w:r>
      <w:r w:rsidRPr="01EB8908">
        <w:rPr>
          <w:u w:val="single"/>
        </w:rPr>
        <w:t xml:space="preserve">                                                                                                       </w:t>
      </w:r>
      <w:r w:rsidR="6400A6C3">
        <w:t>37</w:t>
      </w:r>
    </w:p>
    <w:p w14:paraId="499EBED5" w14:textId="771FC408" w:rsidR="288DF825" w:rsidRDefault="288DF825" w:rsidP="01EB8908">
      <w:pPr>
        <w:pStyle w:val="ListParagraph"/>
        <w:numPr>
          <w:ilvl w:val="1"/>
          <w:numId w:val="1"/>
        </w:numPr>
        <w:rPr>
          <w:u w:val="single"/>
        </w:rPr>
      </w:pPr>
      <w:r>
        <w:t>2 Samuel 17</w:t>
      </w:r>
      <w:r w:rsidRPr="01EB8908">
        <w:rPr>
          <w:u w:val="single"/>
        </w:rPr>
        <w:t xml:space="preserve">                                                                                                       </w:t>
      </w:r>
      <w:r w:rsidR="4978DCF2">
        <w:t>37</w:t>
      </w:r>
    </w:p>
    <w:p w14:paraId="6EAF5DA5" w14:textId="74527FDE" w:rsidR="288DF825" w:rsidRDefault="288DF825" w:rsidP="01EB8908">
      <w:pPr>
        <w:pStyle w:val="ListParagraph"/>
        <w:numPr>
          <w:ilvl w:val="1"/>
          <w:numId w:val="1"/>
        </w:numPr>
        <w:rPr>
          <w:u w:val="single"/>
        </w:rPr>
      </w:pPr>
      <w:r>
        <w:t>2 Samuel 18</w:t>
      </w:r>
      <w:r w:rsidRPr="01EB8908">
        <w:rPr>
          <w:u w:val="single"/>
        </w:rPr>
        <w:t xml:space="preserve">                                                                                                       </w:t>
      </w:r>
      <w:r w:rsidR="3493109D">
        <w:t>3</w:t>
      </w:r>
      <w:r w:rsidR="00237026">
        <w:t>8</w:t>
      </w:r>
    </w:p>
    <w:p w14:paraId="266D79A9" w14:textId="11C5FADE" w:rsidR="288DF825" w:rsidRDefault="288DF825" w:rsidP="01EB8908">
      <w:pPr>
        <w:pStyle w:val="ListParagraph"/>
        <w:numPr>
          <w:ilvl w:val="1"/>
          <w:numId w:val="1"/>
        </w:numPr>
      </w:pPr>
      <w:r>
        <w:t xml:space="preserve">2 Samuel </w:t>
      </w:r>
      <w:r w:rsidR="6A5F0BFB">
        <w:t>19</w:t>
      </w:r>
      <w:r w:rsidRPr="01EB8908">
        <w:rPr>
          <w:u w:val="single"/>
        </w:rPr>
        <w:t xml:space="preserve">                                                                                                       </w:t>
      </w:r>
      <w:r w:rsidR="489B54BC">
        <w:t>3</w:t>
      </w:r>
      <w:r w:rsidR="00237026">
        <w:t>8</w:t>
      </w:r>
    </w:p>
    <w:p w14:paraId="232517C7" w14:textId="27FA2667" w:rsidR="288DF825" w:rsidRDefault="288DF825" w:rsidP="01EB8908">
      <w:pPr>
        <w:pStyle w:val="ListParagraph"/>
        <w:numPr>
          <w:ilvl w:val="1"/>
          <w:numId w:val="1"/>
        </w:numPr>
        <w:rPr>
          <w:u w:val="single"/>
        </w:rPr>
      </w:pPr>
      <w:r>
        <w:t>2 Samuel 2</w:t>
      </w:r>
      <w:r w:rsidR="797F08C4">
        <w:t>0</w:t>
      </w:r>
      <w:r w:rsidRPr="01EB8908">
        <w:rPr>
          <w:u w:val="single"/>
        </w:rPr>
        <w:t xml:space="preserve">                                                                                                       </w:t>
      </w:r>
      <w:r w:rsidR="00237026">
        <w:t>39</w:t>
      </w:r>
    </w:p>
    <w:p w14:paraId="3FDD3D48" w14:textId="184FED44" w:rsidR="288DF825" w:rsidRDefault="288DF825" w:rsidP="01EB8908">
      <w:pPr>
        <w:pStyle w:val="ListParagraph"/>
        <w:numPr>
          <w:ilvl w:val="1"/>
          <w:numId w:val="1"/>
        </w:numPr>
        <w:rPr>
          <w:u w:val="single"/>
        </w:rPr>
      </w:pPr>
      <w:r>
        <w:t>2 Samuel 2</w:t>
      </w:r>
      <w:r w:rsidR="2800EAFE">
        <w:t>1</w:t>
      </w:r>
      <w:r w:rsidRPr="01EB8908">
        <w:rPr>
          <w:u w:val="single"/>
        </w:rPr>
        <w:t xml:space="preserve">                                                                                                       </w:t>
      </w:r>
      <w:r w:rsidR="00237026">
        <w:t>39</w:t>
      </w:r>
    </w:p>
    <w:p w14:paraId="49E1BBC1" w14:textId="393F6724" w:rsidR="288DF825" w:rsidRDefault="288DF825" w:rsidP="01EB8908">
      <w:pPr>
        <w:pStyle w:val="ListParagraph"/>
        <w:numPr>
          <w:ilvl w:val="1"/>
          <w:numId w:val="1"/>
        </w:numPr>
      </w:pPr>
      <w:r>
        <w:t>2 Samuel 2</w:t>
      </w:r>
      <w:r w:rsidR="726E6A9C">
        <w:t>2</w:t>
      </w:r>
      <w:r w:rsidRPr="01EB8908">
        <w:rPr>
          <w:u w:val="single"/>
        </w:rPr>
        <w:t xml:space="preserve">                                                                                                       </w:t>
      </w:r>
      <w:r w:rsidR="0049410F">
        <w:t>4</w:t>
      </w:r>
      <w:r w:rsidR="002E04B2">
        <w:t>0</w:t>
      </w:r>
    </w:p>
    <w:p w14:paraId="45E4D89E" w14:textId="4F01EFC8" w:rsidR="288DF825" w:rsidRDefault="288DF825" w:rsidP="01EB8908">
      <w:pPr>
        <w:pStyle w:val="ListParagraph"/>
        <w:numPr>
          <w:ilvl w:val="1"/>
          <w:numId w:val="1"/>
        </w:numPr>
        <w:rPr>
          <w:u w:val="single"/>
        </w:rPr>
      </w:pPr>
      <w:r>
        <w:t>2 Samuel 2</w:t>
      </w:r>
      <w:r w:rsidR="27BD14B8">
        <w:t>3</w:t>
      </w:r>
      <w:r w:rsidRPr="01EB8908">
        <w:rPr>
          <w:u w:val="single"/>
        </w:rPr>
        <w:t xml:space="preserve">                                                                                                       </w:t>
      </w:r>
      <w:r w:rsidR="00AE3172">
        <w:t>4</w:t>
      </w:r>
      <w:r w:rsidR="00915F5A">
        <w:t>0</w:t>
      </w:r>
    </w:p>
    <w:p w14:paraId="7D76B70F" w14:textId="57C092D3" w:rsidR="288DF825" w:rsidRDefault="288DF825" w:rsidP="01EB8908">
      <w:pPr>
        <w:pStyle w:val="ListParagraph"/>
        <w:numPr>
          <w:ilvl w:val="1"/>
          <w:numId w:val="1"/>
        </w:numPr>
      </w:pPr>
      <w:r>
        <w:t>2 Samuel 2</w:t>
      </w:r>
      <w:r w:rsidR="31D3939B">
        <w:t>4</w:t>
      </w:r>
      <w:r w:rsidRPr="01EB8908">
        <w:rPr>
          <w:u w:val="single"/>
        </w:rPr>
        <w:t xml:space="preserve">                                                                                                       </w:t>
      </w:r>
      <w:r w:rsidR="00AE3172">
        <w:t>4</w:t>
      </w:r>
      <w:r w:rsidR="002E04B2">
        <w:t>1</w:t>
      </w:r>
    </w:p>
    <w:p w14:paraId="615AA3A3" w14:textId="7C245729" w:rsidR="00F9412A" w:rsidRPr="00336BF7" w:rsidRDefault="00F9412A" w:rsidP="00C63A08">
      <w:pPr>
        <w:pStyle w:val="ListParagraph"/>
        <w:numPr>
          <w:ilvl w:val="0"/>
          <w:numId w:val="3"/>
        </w:numPr>
      </w:pPr>
      <w:r>
        <w:t>Appendix</w:t>
      </w:r>
    </w:p>
    <w:p w14:paraId="1FC90153" w14:textId="51456F1B" w:rsidR="00C63A08" w:rsidRPr="00336BF7" w:rsidRDefault="00C63A08" w:rsidP="01EB8908">
      <w:pPr>
        <w:pStyle w:val="ListParagraph"/>
        <w:numPr>
          <w:ilvl w:val="0"/>
          <w:numId w:val="18"/>
        </w:numPr>
        <w:rPr>
          <w:u w:val="single"/>
        </w:rPr>
      </w:pPr>
      <w:r>
        <w:t>Timeline</w:t>
      </w:r>
      <w:r w:rsidR="6F7F90F4">
        <w:t xml:space="preserve"> for the Historical Books</w:t>
      </w:r>
      <w:r>
        <w:t xml:space="preserve"> </w:t>
      </w:r>
      <w:r w:rsidRPr="01EB8908">
        <w:rPr>
          <w:u w:val="single"/>
        </w:rPr>
        <w:t xml:space="preserve">                                                   </w:t>
      </w:r>
      <w:r w:rsidR="6AE33E1D" w:rsidRPr="01EB8908">
        <w:rPr>
          <w:u w:val="single"/>
        </w:rPr>
        <w:t xml:space="preserve">       </w:t>
      </w:r>
      <w:r w:rsidRPr="01EB8908">
        <w:rPr>
          <w:u w:val="single"/>
        </w:rPr>
        <w:t xml:space="preserve">                 </w:t>
      </w:r>
      <w:r w:rsidR="00712E6E">
        <w:t>4</w:t>
      </w:r>
      <w:r w:rsidR="002E04B2">
        <w:t>2</w:t>
      </w:r>
    </w:p>
    <w:p w14:paraId="4447E216" w14:textId="11C9E227" w:rsidR="00962394" w:rsidRPr="00336BF7" w:rsidRDefault="00962394" w:rsidP="00962394">
      <w:pPr>
        <w:pStyle w:val="ListParagraph"/>
        <w:numPr>
          <w:ilvl w:val="0"/>
          <w:numId w:val="18"/>
        </w:numPr>
      </w:pPr>
      <w:r>
        <w:t>Timeline for the Prophets</w:t>
      </w:r>
      <w:r w:rsidR="00A80AAA">
        <w:t xml:space="preserve">  </w:t>
      </w:r>
      <w:r w:rsidRPr="01EB8908">
        <w:rPr>
          <w:u w:val="single"/>
        </w:rPr>
        <w:t xml:space="preserve">                                                       </w:t>
      </w:r>
      <w:r w:rsidR="79E12B06" w:rsidRPr="01EB8908">
        <w:rPr>
          <w:u w:val="single"/>
        </w:rPr>
        <w:t xml:space="preserve">         </w:t>
      </w:r>
      <w:r w:rsidRPr="01EB8908">
        <w:rPr>
          <w:u w:val="single"/>
        </w:rPr>
        <w:t xml:space="preserve">                       </w:t>
      </w:r>
      <w:r>
        <w:t>4</w:t>
      </w:r>
      <w:r w:rsidR="002E04B2">
        <w:t>3</w:t>
      </w:r>
    </w:p>
    <w:p w14:paraId="6E7FA118" w14:textId="395877A1" w:rsidR="2C4A10CE" w:rsidRDefault="2C4A10CE" w:rsidP="01EB8908">
      <w:pPr>
        <w:pStyle w:val="ListParagraph"/>
        <w:numPr>
          <w:ilvl w:val="0"/>
          <w:numId w:val="18"/>
        </w:numPr>
      </w:pPr>
      <w:r>
        <w:t>Biographical Sketch: Samuel</w:t>
      </w:r>
      <w:r w:rsidR="56230464">
        <w:t xml:space="preserve">  </w:t>
      </w:r>
      <w:r w:rsidR="56230464" w:rsidRPr="01EB8908">
        <w:rPr>
          <w:u w:val="single"/>
        </w:rPr>
        <w:t xml:space="preserve">                                                                                 </w:t>
      </w:r>
      <w:r w:rsidR="56230464">
        <w:t>4</w:t>
      </w:r>
      <w:r w:rsidR="002E04B2">
        <w:t>4</w:t>
      </w:r>
    </w:p>
    <w:p w14:paraId="651ABF0B" w14:textId="6596E1AB" w:rsidR="0CF2B69D" w:rsidRDefault="0CF2B69D" w:rsidP="01EB8908">
      <w:pPr>
        <w:pStyle w:val="ListParagraph"/>
        <w:numPr>
          <w:ilvl w:val="0"/>
          <w:numId w:val="18"/>
        </w:numPr>
      </w:pPr>
      <w:r>
        <w:t xml:space="preserve">1 Samuel Outline </w:t>
      </w:r>
      <w:r w:rsidRPr="01EB8908">
        <w:rPr>
          <w:u w:val="single"/>
        </w:rPr>
        <w:t xml:space="preserve">                                                                                                     </w:t>
      </w:r>
      <w:r>
        <w:t>4</w:t>
      </w:r>
      <w:r w:rsidR="002E04B2">
        <w:t>5</w:t>
      </w:r>
    </w:p>
    <w:p w14:paraId="59B40E1B" w14:textId="1F85164A" w:rsidR="00852D05" w:rsidRDefault="0CF2B69D" w:rsidP="00852D05">
      <w:pPr>
        <w:pStyle w:val="ListParagraph"/>
        <w:numPr>
          <w:ilvl w:val="0"/>
          <w:numId w:val="18"/>
        </w:numPr>
      </w:pPr>
      <w:r>
        <w:t xml:space="preserve">2 Samuel Outline  </w:t>
      </w:r>
      <w:r w:rsidRPr="01EB8908">
        <w:rPr>
          <w:u w:val="single"/>
        </w:rPr>
        <w:t xml:space="preserve">                                                                                                    </w:t>
      </w:r>
      <w:r>
        <w:t>4</w:t>
      </w:r>
      <w:r w:rsidR="002E04B2">
        <w:t>6</w:t>
      </w:r>
      <w:r w:rsidR="00852D05">
        <w:t xml:space="preserve">                 </w:t>
      </w:r>
    </w:p>
    <w:p w14:paraId="1A1B0491" w14:textId="66E6FDC2" w:rsidR="00A80AAA" w:rsidRPr="00336BF7" w:rsidRDefault="00A80AAA" w:rsidP="00852D05">
      <w:pPr>
        <w:pStyle w:val="ListParagraph"/>
        <w:numPr>
          <w:ilvl w:val="0"/>
          <w:numId w:val="3"/>
        </w:numPr>
      </w:pPr>
      <w:r>
        <w:t>Selected Bibliography</w:t>
      </w:r>
      <w:r w:rsidRPr="00852D05">
        <w:rPr>
          <w:u w:val="single"/>
        </w:rPr>
        <w:t xml:space="preserve">                                                                  </w:t>
      </w:r>
      <w:r w:rsidR="73D2B3B4" w:rsidRPr="00852D05">
        <w:rPr>
          <w:u w:val="single"/>
        </w:rPr>
        <w:t xml:space="preserve">               </w:t>
      </w:r>
      <w:r w:rsidRPr="00852D05">
        <w:rPr>
          <w:u w:val="single"/>
        </w:rPr>
        <w:t xml:space="preserve">                   </w:t>
      </w:r>
      <w:r w:rsidR="5D1FD587">
        <w:t>4</w:t>
      </w:r>
      <w:r w:rsidR="002E04B2">
        <w:t>7</w:t>
      </w:r>
    </w:p>
    <w:p w14:paraId="462023BC" w14:textId="77777777" w:rsidR="00142B24" w:rsidRPr="00336BF7" w:rsidRDefault="00142B24" w:rsidP="00142B24"/>
    <w:p w14:paraId="73CAB216" w14:textId="77777777" w:rsidR="00142B24" w:rsidRDefault="00142B24" w:rsidP="00142B24"/>
    <w:p w14:paraId="49A3DD89" w14:textId="77777777" w:rsidR="00142B24" w:rsidRDefault="00142B24" w:rsidP="00142B24">
      <w:pPr>
        <w:sectPr w:rsidR="00142B24" w:rsidSect="00885A7D">
          <w:headerReference w:type="default" r:id="rId9"/>
          <w:footnotePr>
            <w:pos w:val="beneathText"/>
          </w:footnotePr>
          <w:pgSz w:w="12240" w:h="15840"/>
          <w:pgMar w:top="1440" w:right="1440" w:bottom="1440" w:left="1440" w:header="720" w:footer="720" w:gutter="0"/>
          <w:pgNumType w:start="0"/>
          <w:cols w:space="720"/>
          <w:docGrid w:linePitch="360"/>
        </w:sectPr>
      </w:pPr>
    </w:p>
    <w:p w14:paraId="104D14A1" w14:textId="31EEAF29" w:rsidR="00A80AAA" w:rsidRPr="00A85F31" w:rsidRDefault="00105F2D" w:rsidP="00621A9A">
      <w:pPr>
        <w:jc w:val="center"/>
        <w:rPr>
          <w:b/>
          <w:bCs/>
        </w:rPr>
      </w:pPr>
      <w:r w:rsidRPr="00A85F31">
        <w:rPr>
          <w:b/>
          <w:bCs/>
        </w:rPr>
        <w:lastRenderedPageBreak/>
        <w:t xml:space="preserve">Preaching </w:t>
      </w:r>
      <w:r w:rsidR="007577A5" w:rsidRPr="00A85F31">
        <w:rPr>
          <w:b/>
          <w:bCs/>
        </w:rPr>
        <w:t>First</w:t>
      </w:r>
      <w:r w:rsidRPr="00A85F31">
        <w:rPr>
          <w:b/>
          <w:bCs/>
        </w:rPr>
        <w:t xml:space="preserve"> and </w:t>
      </w:r>
      <w:r w:rsidR="007577A5" w:rsidRPr="00A85F31">
        <w:rPr>
          <w:b/>
          <w:bCs/>
        </w:rPr>
        <w:t xml:space="preserve">Second </w:t>
      </w:r>
      <w:r w:rsidRPr="00A85F31">
        <w:rPr>
          <w:b/>
          <w:bCs/>
        </w:rPr>
        <w:t>Samuel</w:t>
      </w:r>
    </w:p>
    <w:p w14:paraId="3F1B2FA7" w14:textId="739B617C" w:rsidR="00EC4E3D" w:rsidRDefault="006F546F" w:rsidP="008A21E9">
      <w:r>
        <w:t>A</w:t>
      </w:r>
      <w:r w:rsidR="007745A5">
        <w:t xml:space="preserve"> 2019</w:t>
      </w:r>
      <w:r>
        <w:t xml:space="preserve"> Pew Research study revealed that only 61% of </w:t>
      </w:r>
      <w:r w:rsidR="00A02B13">
        <w:t>Christian sermons mention the Old Testament.</w:t>
      </w:r>
      <w:r w:rsidR="00A02B13">
        <w:rPr>
          <w:rStyle w:val="FootnoteReference"/>
        </w:rPr>
        <w:footnoteReference w:id="2"/>
      </w:r>
      <w:r w:rsidR="00F7639F">
        <w:t xml:space="preserve"> </w:t>
      </w:r>
      <w:r w:rsidR="007C2969">
        <w:t xml:space="preserve">While preachers would agree that </w:t>
      </w:r>
      <w:r w:rsidR="00682508">
        <w:t xml:space="preserve">they </w:t>
      </w:r>
      <w:r w:rsidR="00682508" w:rsidRPr="0059326F">
        <w:rPr>
          <w:i/>
          <w:iCs/>
        </w:rPr>
        <w:t>should</w:t>
      </w:r>
      <w:r w:rsidR="00682508">
        <w:t xml:space="preserve"> preach</w:t>
      </w:r>
      <w:r w:rsidR="008A21E9">
        <w:t xml:space="preserve"> </w:t>
      </w:r>
      <w:r w:rsidR="008A21E9" w:rsidRPr="00A65140">
        <w:t xml:space="preserve">“the whole counsel of God” </w:t>
      </w:r>
      <w:r w:rsidR="008A21E9">
        <w:t>(Acts 20:27)</w:t>
      </w:r>
      <w:r w:rsidR="00682508">
        <w:t>,</w:t>
      </w:r>
      <w:r w:rsidR="00231364">
        <w:t xml:space="preserve"> </w:t>
      </w:r>
      <w:r w:rsidR="008A21E9">
        <w:t xml:space="preserve">many struggle </w:t>
      </w:r>
      <w:r w:rsidR="00632094" w:rsidRPr="00632094">
        <w:rPr>
          <w:i/>
          <w:iCs/>
        </w:rPr>
        <w:t>actually</w:t>
      </w:r>
      <w:r w:rsidR="00632094">
        <w:t xml:space="preserve"> to preach from the Old Testament</w:t>
      </w:r>
      <w:r w:rsidR="002076CA">
        <w:t xml:space="preserve">. </w:t>
      </w:r>
      <w:r w:rsidR="00EC4E3D">
        <w:t xml:space="preserve">While we know the Old Testament is vital, we </w:t>
      </w:r>
      <w:r w:rsidR="003511E7">
        <w:t xml:space="preserve">can easily become overwhelmed when </w:t>
      </w:r>
      <w:r w:rsidR="00530079">
        <w:t xml:space="preserve">trying to discern how best to study and preach from </w:t>
      </w:r>
      <w:r w:rsidR="00161A6B">
        <w:t>it</w:t>
      </w:r>
      <w:r w:rsidR="00A50C00">
        <w:t xml:space="preserve">. </w:t>
      </w:r>
      <w:r w:rsidR="00972048">
        <w:t>This conference will help</w:t>
      </w:r>
      <w:r w:rsidR="0011096C">
        <w:t xml:space="preserve"> us to dive into </w:t>
      </w:r>
      <w:r w:rsidR="009315F0">
        <w:t>the Old Testament books of 1 and 2 Samuel</w:t>
      </w:r>
      <w:r w:rsidR="000A19EF">
        <w:t xml:space="preserve"> and</w:t>
      </w:r>
      <w:r w:rsidR="00103870">
        <w:t xml:space="preserve"> encourage us to preach from these inspired texts.</w:t>
      </w:r>
    </w:p>
    <w:p w14:paraId="180B4CBC" w14:textId="1BCBD37E" w:rsidR="00BD137B" w:rsidRDefault="004C09E3" w:rsidP="008A21E9">
      <w:r>
        <w:t>F</w:t>
      </w:r>
      <w:r w:rsidR="00161A6B">
        <w:t>irst and Second Samuel are treasure troves overflowing with God’s faithfulness and activity in human history. First Samuel comprises 20,837 words, 31 chapters, and 810 verses. Second Samuel is a bit shorter,</w:t>
      </w:r>
      <w:r w:rsidR="00225AD8">
        <w:t xml:space="preserve"> at </w:t>
      </w:r>
      <w:r w:rsidR="00BE5DA7">
        <w:t>17,170 words</w:t>
      </w:r>
      <w:r w:rsidR="00D47558">
        <w:t xml:space="preserve">, 24 chapters, and 695 verses. </w:t>
      </w:r>
      <w:r w:rsidR="00BD137B">
        <w:t xml:space="preserve">These books contain some of the </w:t>
      </w:r>
      <w:r w:rsidR="00B36045">
        <w:t>Old Testament</w:t>
      </w:r>
      <w:r w:rsidR="00633678">
        <w:t>’</w:t>
      </w:r>
      <w:r w:rsidR="00B36045">
        <w:t>s most well-known stories</w:t>
      </w:r>
      <w:r w:rsidR="00BD137B">
        <w:t xml:space="preserve">. </w:t>
      </w:r>
      <w:r w:rsidR="00B36045">
        <w:t xml:space="preserve">The following are just a few examples: </w:t>
      </w:r>
    </w:p>
    <w:p w14:paraId="74DA6422" w14:textId="53CEAF12" w:rsidR="00B36045" w:rsidRDefault="003305F9" w:rsidP="00B36045">
      <w:pPr>
        <w:pStyle w:val="ListParagraph"/>
        <w:numPr>
          <w:ilvl w:val="0"/>
          <w:numId w:val="4"/>
        </w:numPr>
      </w:pPr>
      <w:r>
        <w:t xml:space="preserve">Hannah’s </w:t>
      </w:r>
      <w:r w:rsidR="00081BF6" w:rsidRPr="00621A9A">
        <w:t>Prayer</w:t>
      </w:r>
      <w:r w:rsidR="00081BF6">
        <w:t xml:space="preserve"> </w:t>
      </w:r>
      <w:r w:rsidR="00AF7CB7">
        <w:t xml:space="preserve">and Samuel’s Birth </w:t>
      </w:r>
      <w:r w:rsidR="00081BF6">
        <w:t xml:space="preserve">(1 Sam. </w:t>
      </w:r>
      <w:r w:rsidR="00AF7CB7">
        <w:t xml:space="preserve">1) </w:t>
      </w:r>
    </w:p>
    <w:p w14:paraId="362E64F3" w14:textId="4F9FD65F" w:rsidR="00AF7CB7" w:rsidRDefault="00DE671E" w:rsidP="00B36045">
      <w:pPr>
        <w:pStyle w:val="ListParagraph"/>
        <w:numPr>
          <w:ilvl w:val="0"/>
          <w:numId w:val="4"/>
        </w:numPr>
      </w:pPr>
      <w:r>
        <w:t xml:space="preserve">Samuel’s Call (1 Sam. 3) </w:t>
      </w:r>
    </w:p>
    <w:p w14:paraId="281FB8F7" w14:textId="4ED8A2C5" w:rsidR="00DE671E" w:rsidRDefault="00D30EE5" w:rsidP="00B36045">
      <w:pPr>
        <w:pStyle w:val="ListParagraph"/>
        <w:numPr>
          <w:ilvl w:val="0"/>
          <w:numId w:val="4"/>
        </w:numPr>
      </w:pPr>
      <w:r>
        <w:t xml:space="preserve">Saul Anointed King (1 Sam. </w:t>
      </w:r>
      <w:r w:rsidR="00112F23">
        <w:t>10</w:t>
      </w:r>
      <w:r>
        <w:t xml:space="preserve">) </w:t>
      </w:r>
    </w:p>
    <w:p w14:paraId="08728A67" w14:textId="2D32A738" w:rsidR="00D30EE5" w:rsidRDefault="00FE2F0A" w:rsidP="00B36045">
      <w:pPr>
        <w:pStyle w:val="ListParagraph"/>
        <w:numPr>
          <w:ilvl w:val="0"/>
          <w:numId w:val="4"/>
        </w:numPr>
      </w:pPr>
      <w:r>
        <w:t>David Anointed (1 Sam.</w:t>
      </w:r>
      <w:r w:rsidR="00DA7AEC">
        <w:t xml:space="preserve">16:12-23) </w:t>
      </w:r>
    </w:p>
    <w:p w14:paraId="1118A3E4" w14:textId="2C18AEA9" w:rsidR="00DA7AEC" w:rsidRDefault="00DA7AEC" w:rsidP="00B36045">
      <w:pPr>
        <w:pStyle w:val="ListParagraph"/>
        <w:numPr>
          <w:ilvl w:val="0"/>
          <w:numId w:val="4"/>
        </w:numPr>
      </w:pPr>
      <w:r>
        <w:t>David and Goliath (1 Sam. 17</w:t>
      </w:r>
      <w:r w:rsidR="006D68E3">
        <w:t>)</w:t>
      </w:r>
    </w:p>
    <w:p w14:paraId="4B78F1FA" w14:textId="3054C91F" w:rsidR="006D68E3" w:rsidRDefault="006D68E3" w:rsidP="00B36045">
      <w:pPr>
        <w:pStyle w:val="ListParagraph"/>
        <w:numPr>
          <w:ilvl w:val="0"/>
          <w:numId w:val="4"/>
        </w:numPr>
      </w:pPr>
      <w:r>
        <w:t>David and Jonath</w:t>
      </w:r>
      <w:r w:rsidR="001C261E">
        <w:t xml:space="preserve">an’s Covenant (1 Sam. 20:1-29) </w:t>
      </w:r>
    </w:p>
    <w:p w14:paraId="07995506" w14:textId="4BF846F7" w:rsidR="001C261E" w:rsidRDefault="007E2021" w:rsidP="00B36045">
      <w:pPr>
        <w:pStyle w:val="ListParagraph"/>
        <w:numPr>
          <w:ilvl w:val="0"/>
          <w:numId w:val="4"/>
        </w:numPr>
      </w:pPr>
      <w:r>
        <w:t>David Spares Saul’s Life (</w:t>
      </w:r>
      <w:r w:rsidR="0038064A">
        <w:t>1 Sam. 24</w:t>
      </w:r>
      <w:r w:rsidR="00517086">
        <w:t>, 26</w:t>
      </w:r>
      <w:r w:rsidR="0038064A">
        <w:t xml:space="preserve">) </w:t>
      </w:r>
    </w:p>
    <w:p w14:paraId="3EA2ACA0" w14:textId="76CBAC39" w:rsidR="0038064A" w:rsidRDefault="0038064A" w:rsidP="00B36045">
      <w:pPr>
        <w:pStyle w:val="ListParagraph"/>
        <w:numPr>
          <w:ilvl w:val="0"/>
          <w:numId w:val="4"/>
        </w:numPr>
      </w:pPr>
      <w:r>
        <w:t>Samuel’s Death (1 Sam. 25:1)</w:t>
      </w:r>
    </w:p>
    <w:p w14:paraId="1BE94FE1" w14:textId="2C585F5C" w:rsidR="0038064A" w:rsidRDefault="0038064A" w:rsidP="00B36045">
      <w:pPr>
        <w:pStyle w:val="ListParagraph"/>
        <w:numPr>
          <w:ilvl w:val="0"/>
          <w:numId w:val="4"/>
        </w:numPr>
      </w:pPr>
      <w:r>
        <w:t>Abig</w:t>
      </w:r>
      <w:r w:rsidR="00517086">
        <w:t>ail Narrative (1 Sam. 25:2-44)</w:t>
      </w:r>
    </w:p>
    <w:p w14:paraId="5673616B" w14:textId="1932B6AB" w:rsidR="00517086" w:rsidRDefault="00E22171" w:rsidP="00B36045">
      <w:pPr>
        <w:pStyle w:val="ListParagraph"/>
        <w:numPr>
          <w:ilvl w:val="0"/>
          <w:numId w:val="4"/>
        </w:numPr>
      </w:pPr>
      <w:r>
        <w:t xml:space="preserve">Saul and Jonathan Slain (1 Sam. 31) </w:t>
      </w:r>
    </w:p>
    <w:p w14:paraId="2DFDB052" w14:textId="2F194167" w:rsidR="00E22171" w:rsidRDefault="001356CD" w:rsidP="00B36045">
      <w:pPr>
        <w:pStyle w:val="ListParagraph"/>
        <w:numPr>
          <w:ilvl w:val="0"/>
          <w:numId w:val="4"/>
        </w:numPr>
      </w:pPr>
      <w:r>
        <w:t>David King Over Judah (2 Sam. 2)</w:t>
      </w:r>
    </w:p>
    <w:p w14:paraId="7FC18546" w14:textId="3060108D" w:rsidR="001356CD" w:rsidRDefault="008F537E" w:rsidP="00B36045">
      <w:pPr>
        <w:pStyle w:val="ListParagraph"/>
        <w:numPr>
          <w:ilvl w:val="0"/>
          <w:numId w:val="4"/>
        </w:numPr>
      </w:pPr>
      <w:r>
        <w:t xml:space="preserve">David King Over All Israel (2 Sam. 5) </w:t>
      </w:r>
    </w:p>
    <w:p w14:paraId="5528C18D" w14:textId="1265A7D3" w:rsidR="008F537E" w:rsidRDefault="00C173D4" w:rsidP="00B36045">
      <w:pPr>
        <w:pStyle w:val="ListParagraph"/>
        <w:numPr>
          <w:ilvl w:val="0"/>
          <w:numId w:val="4"/>
        </w:numPr>
      </w:pPr>
      <w:r>
        <w:t xml:space="preserve">David’s Desire to Build the Temple (2 Sam. 7) </w:t>
      </w:r>
    </w:p>
    <w:p w14:paraId="291322E4" w14:textId="73E45489" w:rsidR="00C173D4" w:rsidRDefault="00C173D4" w:rsidP="00B36045">
      <w:pPr>
        <w:pStyle w:val="ListParagraph"/>
        <w:numPr>
          <w:ilvl w:val="0"/>
          <w:numId w:val="4"/>
        </w:numPr>
      </w:pPr>
      <w:r>
        <w:t>David’s Kindness to Me</w:t>
      </w:r>
      <w:r w:rsidR="006026DA">
        <w:t xml:space="preserve">phibosheth (2 Sam. 9) </w:t>
      </w:r>
    </w:p>
    <w:p w14:paraId="28787209" w14:textId="0B8DE043" w:rsidR="006026DA" w:rsidRDefault="006026DA" w:rsidP="00B36045">
      <w:pPr>
        <w:pStyle w:val="ListParagraph"/>
        <w:numPr>
          <w:ilvl w:val="0"/>
          <w:numId w:val="4"/>
        </w:numPr>
      </w:pPr>
      <w:r>
        <w:t xml:space="preserve">David’s Great Sins </w:t>
      </w:r>
      <w:r w:rsidR="0098195C">
        <w:t xml:space="preserve">and Nathan’s </w:t>
      </w:r>
      <w:r w:rsidR="00F826BB">
        <w:t>Rebuke (</w:t>
      </w:r>
      <w:r>
        <w:t>2 Sam. 11</w:t>
      </w:r>
      <w:r w:rsidR="0098195C">
        <w:t>-12:</w:t>
      </w:r>
      <w:r w:rsidR="00F826BB">
        <w:t>15</w:t>
      </w:r>
      <w:r w:rsidR="008901E5">
        <w:t>)</w:t>
      </w:r>
    </w:p>
    <w:p w14:paraId="06545344" w14:textId="11130116" w:rsidR="008901E5" w:rsidRDefault="008901E5" w:rsidP="00B36045">
      <w:pPr>
        <w:pStyle w:val="ListParagraph"/>
        <w:numPr>
          <w:ilvl w:val="0"/>
          <w:numId w:val="4"/>
        </w:numPr>
      </w:pPr>
      <w:r>
        <w:t>Solomon Born (</w:t>
      </w:r>
      <w:r w:rsidR="00483982">
        <w:t xml:space="preserve">2 Sam. 12:24-25) </w:t>
      </w:r>
    </w:p>
    <w:p w14:paraId="509CC769" w14:textId="614DB485" w:rsidR="00483982" w:rsidRDefault="00483982" w:rsidP="00B36045">
      <w:pPr>
        <w:pStyle w:val="ListParagraph"/>
        <w:numPr>
          <w:ilvl w:val="0"/>
          <w:numId w:val="4"/>
        </w:numPr>
      </w:pPr>
      <w:r>
        <w:t>Abs</w:t>
      </w:r>
      <w:r w:rsidR="002B1C32">
        <w:t xml:space="preserve">alom’s Conspiracy (2 Sam. 15) </w:t>
      </w:r>
    </w:p>
    <w:p w14:paraId="65EA912C" w14:textId="33DD442E" w:rsidR="002B1C32" w:rsidRDefault="002B1C32" w:rsidP="00B36045">
      <w:pPr>
        <w:pStyle w:val="ListParagraph"/>
        <w:numPr>
          <w:ilvl w:val="0"/>
          <w:numId w:val="4"/>
        </w:numPr>
      </w:pPr>
      <w:r>
        <w:t xml:space="preserve">Absalom Slain (2 Sam. 18) </w:t>
      </w:r>
    </w:p>
    <w:p w14:paraId="3047F332" w14:textId="015C0659" w:rsidR="002B1C32" w:rsidRDefault="00E24D66" w:rsidP="00B36045">
      <w:pPr>
        <w:pStyle w:val="ListParagraph"/>
        <w:numPr>
          <w:ilvl w:val="0"/>
          <w:numId w:val="4"/>
        </w:numPr>
      </w:pPr>
      <w:r>
        <w:t>David’s Final Song (2 Sam. 23:1-</w:t>
      </w:r>
      <w:r w:rsidR="007577A5">
        <w:t xml:space="preserve">7) </w:t>
      </w:r>
    </w:p>
    <w:p w14:paraId="4BD13270" w14:textId="38AE5D70" w:rsidR="007577A5" w:rsidRDefault="007577A5" w:rsidP="00B36045">
      <w:pPr>
        <w:pStyle w:val="ListParagraph"/>
        <w:numPr>
          <w:ilvl w:val="0"/>
          <w:numId w:val="4"/>
        </w:numPr>
      </w:pPr>
      <w:r>
        <w:t xml:space="preserve">David’s Census (2 Sam. 24) </w:t>
      </w:r>
    </w:p>
    <w:p w14:paraId="52C7EC7D" w14:textId="7582CC7F" w:rsidR="00A54FA0" w:rsidRDefault="006204FB" w:rsidP="00A54FA0">
      <w:r>
        <w:t xml:space="preserve">By </w:t>
      </w:r>
      <w:r w:rsidR="00CF45AB">
        <w:t>focusing</w:t>
      </w:r>
      <w:r>
        <w:t xml:space="preserve"> on key areas such as pertinent background issues, theological </w:t>
      </w:r>
      <w:r w:rsidR="00E312F8">
        <w:t xml:space="preserve">insights, and homiletical </w:t>
      </w:r>
      <w:r w:rsidR="008D2144">
        <w:t xml:space="preserve">themes, we will be better equipped </w:t>
      </w:r>
      <w:r w:rsidR="00CF45AB">
        <w:t>to preach these books faithfully</w:t>
      </w:r>
      <w:r w:rsidR="008D2144">
        <w:t>.</w:t>
      </w:r>
      <w:r w:rsidR="00A54FA0">
        <w:t xml:space="preserve"> I pray that these lectures edify you as you seek </w:t>
      </w:r>
      <w:r w:rsidR="00CF45AB">
        <w:t>to handle the Word of Truth rightfully</w:t>
      </w:r>
      <w:r w:rsidR="00A54FA0">
        <w:t>.</w:t>
      </w:r>
      <w:r w:rsidR="007C32DC">
        <w:br w:type="page"/>
      </w:r>
    </w:p>
    <w:p w14:paraId="7C566D31" w14:textId="46084F25" w:rsidR="00633678" w:rsidRPr="00A54FA0" w:rsidRDefault="00633678" w:rsidP="00977F2E">
      <w:pPr>
        <w:jc w:val="center"/>
      </w:pPr>
      <w:r w:rsidRPr="00F86B45">
        <w:rPr>
          <w:b/>
          <w:bCs/>
        </w:rPr>
        <w:lastRenderedPageBreak/>
        <w:t>First and Second Samuel in the Historical Books</w:t>
      </w:r>
    </w:p>
    <w:p w14:paraId="6639B9B0" w14:textId="385F1846" w:rsidR="001A46A6" w:rsidRPr="001A46A6" w:rsidRDefault="00633678" w:rsidP="003466FF">
      <w:r>
        <w:t xml:space="preserve">First and Second Samuel are at the heart of the Historical Books. </w:t>
      </w:r>
      <w:r w:rsidR="001A46A6" w:rsidRPr="001A46A6">
        <w:t xml:space="preserve">In the English Bible, the </w:t>
      </w:r>
      <w:r w:rsidR="00F36B8E">
        <w:t>H</w:t>
      </w:r>
      <w:r w:rsidR="001A46A6" w:rsidRPr="001A46A6">
        <w:t xml:space="preserve">istorical </w:t>
      </w:r>
      <w:r w:rsidR="00F36B8E">
        <w:t>B</w:t>
      </w:r>
      <w:r w:rsidR="001A46A6" w:rsidRPr="001A46A6">
        <w:t>ook</w:t>
      </w:r>
      <w:r w:rsidR="003466FF">
        <w:t>s</w:t>
      </w:r>
      <w:r w:rsidR="001A46A6" w:rsidRPr="001A46A6">
        <w:t xml:space="preserve"> include the following </w:t>
      </w:r>
      <w:r w:rsidR="001A46A6" w:rsidRPr="003466FF">
        <w:t>twelve</w:t>
      </w:r>
      <w:r w:rsidR="001A46A6" w:rsidRPr="001A46A6">
        <w:t xml:space="preserve"> books:</w:t>
      </w:r>
      <w:r w:rsidR="003466FF">
        <w:t xml:space="preserve"> </w:t>
      </w:r>
      <w:r w:rsidR="001A46A6" w:rsidRPr="001A46A6">
        <w:t xml:space="preserve">Joshua, Judges, Ruth, 1 and 2 </w:t>
      </w:r>
      <w:r w:rsidR="006A6983" w:rsidRPr="001A46A6">
        <w:t>Samuel,</w:t>
      </w:r>
      <w:r w:rsidR="006A6983">
        <w:t xml:space="preserve">  </w:t>
      </w:r>
      <w:r w:rsidR="007D7FCE">
        <w:t xml:space="preserve">     </w:t>
      </w:r>
      <w:r w:rsidR="001A46A6" w:rsidRPr="001A46A6">
        <w:t xml:space="preserve">1 and 2 Kings, 1 and 2 Chronicles, Ezra, Nehemiah, and Esther. </w:t>
      </w:r>
    </w:p>
    <w:p w14:paraId="6C727B8C" w14:textId="7C4A82B3" w:rsidR="00DE7758" w:rsidRPr="00DE7758" w:rsidRDefault="001A46A6" w:rsidP="00DE7758">
      <w:r w:rsidRPr="001A46A6">
        <w:t>In the Hebrew arrangement, Joshua, Judges, the books of Samuel</w:t>
      </w:r>
      <w:r w:rsidR="00FC35DA">
        <w:t>,</w:t>
      </w:r>
      <w:r w:rsidRPr="001A46A6">
        <w:t xml:space="preserve"> and Kings constitute a group </w:t>
      </w:r>
      <w:r w:rsidR="00F826BB">
        <w:t>called</w:t>
      </w:r>
      <w:r w:rsidRPr="001A46A6">
        <w:t xml:space="preserve"> the </w:t>
      </w:r>
      <w:r w:rsidRPr="001A46A6">
        <w:rPr>
          <w:i/>
          <w:iCs/>
        </w:rPr>
        <w:t>former prophets</w:t>
      </w:r>
      <w:r w:rsidRPr="001A46A6">
        <w:t>.</w:t>
      </w:r>
      <w:r w:rsidRPr="001A46A6">
        <w:rPr>
          <w:b/>
          <w:bCs/>
        </w:rPr>
        <w:t xml:space="preserve"> </w:t>
      </w:r>
      <w:r w:rsidRPr="001A46A6">
        <w:t xml:space="preserve">The </w:t>
      </w:r>
      <w:r w:rsidRPr="001A46A6">
        <w:rPr>
          <w:i/>
          <w:iCs/>
        </w:rPr>
        <w:t>latter prophets</w:t>
      </w:r>
      <w:r w:rsidRPr="001A46A6">
        <w:rPr>
          <w:b/>
          <w:bCs/>
        </w:rPr>
        <w:t xml:space="preserve"> </w:t>
      </w:r>
      <w:r w:rsidRPr="001A46A6">
        <w:t>include Isaiah, Jeremiah, Ezekiel</w:t>
      </w:r>
      <w:r w:rsidR="008E6BF1">
        <w:t>,</w:t>
      </w:r>
      <w:r w:rsidRPr="001A46A6">
        <w:t xml:space="preserve"> and the Minor Prophets. </w:t>
      </w:r>
      <w:r w:rsidR="00DE7758" w:rsidRPr="00DE7758">
        <w:t>The remaining historical books</w:t>
      </w:r>
      <w:r w:rsidR="006A6983">
        <w:t>—</w:t>
      </w:r>
      <w:r w:rsidR="00DE7758" w:rsidRPr="00DE7758">
        <w:t>Ruth, Chronicles, Ezra, Nehemiah, and Esther</w:t>
      </w:r>
      <w:r w:rsidR="006A6983">
        <w:t>—</w:t>
      </w:r>
      <w:r w:rsidR="00DE7758" w:rsidRPr="00DE7758">
        <w:t xml:space="preserve">along with Job, Psalms, Proverbs, Song of Songs, Ecclesiastes, Lamentations, and Daniel, form the section called </w:t>
      </w:r>
      <w:r w:rsidR="00DE7758" w:rsidRPr="00DE7758">
        <w:rPr>
          <w:i/>
          <w:iCs/>
        </w:rPr>
        <w:t>the Writings</w:t>
      </w:r>
      <w:r w:rsidR="00DE7758" w:rsidRPr="00DE7758">
        <w:t>.</w:t>
      </w:r>
      <w:r w:rsidR="00DE7758" w:rsidRPr="00DE7758">
        <w:rPr>
          <w:b/>
          <w:bCs/>
        </w:rPr>
        <w:t xml:space="preserve">  </w:t>
      </w:r>
    </w:p>
    <w:p w14:paraId="6E195F10" w14:textId="44D5CAC7" w:rsidR="00DE7758" w:rsidRDefault="00DE7758" w:rsidP="00DE7758">
      <w:r w:rsidRPr="00DE7758">
        <w:t xml:space="preserve">The </w:t>
      </w:r>
      <w:r w:rsidR="005039EA">
        <w:t>H</w:t>
      </w:r>
      <w:r w:rsidRPr="00DE7758">
        <w:t xml:space="preserve">istorical </w:t>
      </w:r>
      <w:r w:rsidR="004F65E1">
        <w:t>B</w:t>
      </w:r>
      <w:r w:rsidRPr="00DE7758">
        <w:t xml:space="preserve">ooks cover a vast </w:t>
      </w:r>
      <w:r w:rsidR="008E6BF1" w:rsidRPr="00DE7758">
        <w:t>period</w:t>
      </w:r>
      <w:r w:rsidR="005A4F10">
        <w:t xml:space="preserve"> of</w:t>
      </w:r>
      <w:r w:rsidRPr="00DE7758">
        <w:t xml:space="preserve"> at least 800 years. The narrative begins with Joshua and the conquest </w:t>
      </w:r>
      <w:r w:rsidR="00CD36BB">
        <w:t xml:space="preserve">and continues </w:t>
      </w:r>
      <w:r w:rsidRPr="00DE7758">
        <w:t>all the way to the Persian Empire in which Esther lived.</w:t>
      </w:r>
      <w:r w:rsidR="0010163F">
        <w:t xml:space="preserve"> The </w:t>
      </w:r>
      <w:r w:rsidR="005A4F10">
        <w:t>following</w:t>
      </w:r>
      <w:r w:rsidR="0010163F">
        <w:t xml:space="preserve"> is a 30,000-foot-view of the </w:t>
      </w:r>
      <w:r w:rsidR="004F65E1">
        <w:t>H</w:t>
      </w:r>
      <w:r w:rsidR="0010163F">
        <w:t xml:space="preserve">istorical </w:t>
      </w:r>
      <w:r w:rsidR="004F65E1">
        <w:t>B</w:t>
      </w:r>
      <w:r w:rsidR="0010163F">
        <w:t xml:space="preserve">ooks: </w:t>
      </w:r>
    </w:p>
    <w:p w14:paraId="26305342" w14:textId="77844EAB" w:rsidR="0093131B" w:rsidRPr="0010163F" w:rsidRDefault="0010163F" w:rsidP="0093131B">
      <w:r w:rsidRPr="0093131B">
        <w:rPr>
          <w:i/>
          <w:iCs/>
        </w:rPr>
        <w:t>Joshua</w:t>
      </w:r>
      <w:r w:rsidRPr="0010163F">
        <w:t xml:space="preserve"> was written to show the surpassing value of obedience. The book tells the story of Israel’s conquest of the Promised Land. </w:t>
      </w:r>
      <w:r w:rsidR="004949AA" w:rsidRPr="004949AA">
        <w:t>The book of Joshua covers a span of approximately 20 years. (1405-1385 B</w:t>
      </w:r>
      <w:r w:rsidR="00EB4D55">
        <w:t>.</w:t>
      </w:r>
      <w:r w:rsidR="004949AA" w:rsidRPr="004949AA">
        <w:t>C</w:t>
      </w:r>
      <w:r w:rsidR="00EB4D55">
        <w:t>.</w:t>
      </w:r>
      <w:r w:rsidR="004949AA" w:rsidRPr="004949AA">
        <w:t>)</w:t>
      </w:r>
    </w:p>
    <w:p w14:paraId="3F4CBD69" w14:textId="39AF0F40" w:rsidR="0093131B" w:rsidRDefault="0010163F" w:rsidP="0093131B">
      <w:r w:rsidRPr="0093131B">
        <w:rPr>
          <w:i/>
          <w:iCs/>
        </w:rPr>
        <w:t>Judges</w:t>
      </w:r>
      <w:r w:rsidRPr="0010163F">
        <w:t xml:space="preserve"> displays a cycle of </w:t>
      </w:r>
      <w:r w:rsidR="004949AA" w:rsidRPr="0010163F">
        <w:t>rebellion, punishment</w:t>
      </w:r>
      <w:r w:rsidRPr="0010163F">
        <w:t xml:space="preserve">, </w:t>
      </w:r>
      <w:r w:rsidR="004949AA">
        <w:t xml:space="preserve">a </w:t>
      </w:r>
      <w:r w:rsidRPr="0010163F">
        <w:t xml:space="preserve">cry for deliverance, and God’s gracious sending of a deliverer (judge) to save the people. </w:t>
      </w:r>
    </w:p>
    <w:p w14:paraId="0583E8BF" w14:textId="4912331F" w:rsidR="0093131B" w:rsidRDefault="0010163F" w:rsidP="0093131B">
      <w:r w:rsidRPr="0093131B">
        <w:rPr>
          <w:i/>
          <w:iCs/>
        </w:rPr>
        <w:t>Ruth</w:t>
      </w:r>
      <w:r w:rsidRPr="0010163F">
        <w:t xml:space="preserve"> takes place during the time of Judges. The book shows God’s sovereign care for faithful individuals, even those living in nations that have succumbed to religious apathy. </w:t>
      </w:r>
    </w:p>
    <w:p w14:paraId="1C6AED1E" w14:textId="77777777" w:rsidR="0093131B" w:rsidRDefault="00925F21" w:rsidP="0093131B">
      <w:r w:rsidRPr="0093131B">
        <w:rPr>
          <w:i/>
          <w:iCs/>
        </w:rPr>
        <w:t>1 and 2 Samuel</w:t>
      </w:r>
      <w:r w:rsidRPr="00925F21">
        <w:t xml:space="preserve"> trace the early history of Israel’s monarchy</w:t>
      </w:r>
      <w:r>
        <w:t>—the</w:t>
      </w:r>
      <w:r w:rsidRPr="00925F21">
        <w:t xml:space="preserve"> narrative centers on the prophet Samuel and the first two kings of Israel, Saul and David.</w:t>
      </w:r>
    </w:p>
    <w:p w14:paraId="64D19874" w14:textId="63A96070" w:rsidR="0093131B" w:rsidRDefault="00925F21" w:rsidP="0093131B">
      <w:r w:rsidRPr="0093131B">
        <w:rPr>
          <w:i/>
          <w:iCs/>
        </w:rPr>
        <w:t>1 and 2 Kings</w:t>
      </w:r>
      <w:r w:rsidRPr="00925F21">
        <w:t xml:space="preserve"> </w:t>
      </w:r>
      <w:r w:rsidR="005229A5">
        <w:t>discuss</w:t>
      </w:r>
      <w:r w:rsidRPr="00925F21">
        <w:t xml:space="preserve"> the </w:t>
      </w:r>
      <w:r w:rsidR="00152032">
        <w:t>monarchy</w:t>
      </w:r>
      <w:r w:rsidR="00693806">
        <w:t>’</w:t>
      </w:r>
      <w:r w:rsidR="00152032">
        <w:t>s history from Solomon until Jerusalem</w:t>
      </w:r>
      <w:r w:rsidR="00105C10">
        <w:t>’</w:t>
      </w:r>
      <w:r w:rsidR="00152032">
        <w:t>s fall</w:t>
      </w:r>
      <w:r w:rsidRPr="00925F21">
        <w:t xml:space="preserve">. After Solomon’s reign, the nation </w:t>
      </w:r>
      <w:r w:rsidR="00152032">
        <w:t xml:space="preserve">was </w:t>
      </w:r>
      <w:r w:rsidRPr="00925F21">
        <w:t>divided</w:t>
      </w:r>
      <w:r w:rsidR="00EB4D55">
        <w:t>.</w:t>
      </w:r>
      <w:r w:rsidRPr="00925F21">
        <w:t xml:space="preserve"> (930 B</w:t>
      </w:r>
      <w:r w:rsidR="00EB4D55">
        <w:t>.</w:t>
      </w:r>
      <w:r w:rsidRPr="00925F21">
        <w:t>C</w:t>
      </w:r>
      <w:r w:rsidR="00EB4D55">
        <w:t>.</w:t>
      </w:r>
      <w:r w:rsidRPr="00925F21">
        <w:t>) Eventually</w:t>
      </w:r>
      <w:r w:rsidR="00152032">
        <w:t>,</w:t>
      </w:r>
      <w:r w:rsidRPr="00925F21">
        <w:t xml:space="preserve"> the northern nation, Israel, fall</w:t>
      </w:r>
      <w:r w:rsidR="00105C10">
        <w:t>s</w:t>
      </w:r>
      <w:r w:rsidRPr="00925F21">
        <w:t xml:space="preserve"> to the Assyrians</w:t>
      </w:r>
      <w:r w:rsidR="00EB4D55">
        <w:t>.</w:t>
      </w:r>
      <w:r w:rsidRPr="00925F21">
        <w:t xml:space="preserve"> (722 B</w:t>
      </w:r>
      <w:r w:rsidR="00EB4D55">
        <w:t>.</w:t>
      </w:r>
      <w:r w:rsidRPr="00925F21">
        <w:t>C</w:t>
      </w:r>
      <w:r w:rsidR="00EB4D55">
        <w:t>.</w:t>
      </w:r>
      <w:r w:rsidRPr="00925F21">
        <w:t>) The southern kingdom, Judah, would later fall to Nebuchadnezzar and the Babylonians in 58</w:t>
      </w:r>
      <w:r w:rsidR="00CD36BB">
        <w:t>7</w:t>
      </w:r>
      <w:r w:rsidR="00152032">
        <w:t>/</w:t>
      </w:r>
      <w:r w:rsidR="00940DF5">
        <w:t>58</w:t>
      </w:r>
      <w:r w:rsidR="00CD36BB">
        <w:t>6</w:t>
      </w:r>
      <w:r w:rsidRPr="00925F21">
        <w:t xml:space="preserve"> B</w:t>
      </w:r>
      <w:r w:rsidR="005701C4">
        <w:t>.</w:t>
      </w:r>
      <w:r w:rsidRPr="00925F21">
        <w:t>C.</w:t>
      </w:r>
    </w:p>
    <w:p w14:paraId="5753BC3B" w14:textId="0FD822B5" w:rsidR="0093131B" w:rsidRDefault="00C75080" w:rsidP="0093131B">
      <w:r w:rsidRPr="0093131B">
        <w:rPr>
          <w:i/>
          <w:iCs/>
        </w:rPr>
        <w:t>1 and 2 Chronicles</w:t>
      </w:r>
      <w:r w:rsidRPr="00C75080">
        <w:t xml:space="preserve"> offer the first commentary on Scripture. The</w:t>
      </w:r>
      <w:r w:rsidR="00940DF5">
        <w:t>se books</w:t>
      </w:r>
      <w:r w:rsidRPr="00C75080">
        <w:t xml:space="preserve"> were written during the </w:t>
      </w:r>
      <w:r>
        <w:t>post-exilic</w:t>
      </w:r>
      <w:r w:rsidRPr="00C75080">
        <w:t xml:space="preserve"> period to retell the stories of David, Solomon, and the Kingdom of Judah. By recounting </w:t>
      </w:r>
      <w:r w:rsidR="00940DF5">
        <w:t>God</w:t>
      </w:r>
      <w:r w:rsidR="00632132">
        <w:t>’</w:t>
      </w:r>
      <w:r w:rsidR="00940DF5">
        <w:t>s faithfulness</w:t>
      </w:r>
      <w:r w:rsidRPr="00C75080">
        <w:t xml:space="preserve"> in these stories, the author </w:t>
      </w:r>
      <w:r>
        <w:t>provides</w:t>
      </w:r>
      <w:r w:rsidRPr="00C75080">
        <w:t xml:space="preserve"> hope for </w:t>
      </w:r>
      <w:r w:rsidR="00BD7A93">
        <w:t>God’s people.</w:t>
      </w:r>
      <w:r w:rsidRPr="00C75080">
        <w:t xml:space="preserve"> </w:t>
      </w:r>
    </w:p>
    <w:p w14:paraId="7A30D355" w14:textId="1C621DDD" w:rsidR="0093131B" w:rsidRDefault="00C75080" w:rsidP="0093131B">
      <w:r w:rsidRPr="0093131B">
        <w:rPr>
          <w:i/>
          <w:iCs/>
        </w:rPr>
        <w:t>Ezra and Nehemiah</w:t>
      </w:r>
      <w:r w:rsidRPr="00C75080">
        <w:t xml:space="preserve"> were originally a single composition. These books present the </w:t>
      </w:r>
      <w:r>
        <w:t>restoration events</w:t>
      </w:r>
      <w:r w:rsidRPr="00C75080">
        <w:t xml:space="preserve"> in the middle of the 5th century B</w:t>
      </w:r>
      <w:r w:rsidR="00EB4D55">
        <w:t>.</w:t>
      </w:r>
      <w:r w:rsidRPr="00C75080">
        <w:t>C. The books tell how the people of God, under Persian rule, were allowed to return to their homeland and rebuild the temple and</w:t>
      </w:r>
      <w:r w:rsidR="001575F6">
        <w:t xml:space="preserve"> the</w:t>
      </w:r>
      <w:r w:rsidRPr="00C75080">
        <w:t xml:space="preserve"> walls of Jerusalem.</w:t>
      </w:r>
    </w:p>
    <w:p w14:paraId="50846934" w14:textId="77777777" w:rsidR="00852D05" w:rsidRDefault="009202CB" w:rsidP="00852D05">
      <w:r w:rsidRPr="01EB8908">
        <w:rPr>
          <w:i/>
          <w:iCs/>
        </w:rPr>
        <w:t xml:space="preserve">Esther </w:t>
      </w:r>
      <w:r w:rsidRPr="009202CB">
        <w:t xml:space="preserve">tells of God’s sovereign care for His people even while they were living in Persian exile. The book centers on two main characters, Queen Esther and Mordecai. </w:t>
      </w:r>
      <w:r w:rsidR="001575F6">
        <w:t>It beautifully shows how God faithfully works</w:t>
      </w:r>
      <w:r w:rsidRPr="009202CB">
        <w:t xml:space="preserve"> to fulfill His promises even when He is silent.</w:t>
      </w:r>
      <w:r w:rsidR="005513E2">
        <w:rPr>
          <w:rStyle w:val="FootnoteReference"/>
        </w:rPr>
        <w:footnoteReference w:id="3"/>
      </w:r>
    </w:p>
    <w:p w14:paraId="43B41DDE" w14:textId="74C54F69" w:rsidR="0066658D" w:rsidRPr="00852D05" w:rsidRDefault="00E7289F" w:rsidP="00852D05">
      <w:pPr>
        <w:jc w:val="center"/>
      </w:pPr>
      <w:r>
        <w:rPr>
          <w:b/>
          <w:bCs/>
        </w:rPr>
        <w:lastRenderedPageBreak/>
        <w:t xml:space="preserve">Overview of </w:t>
      </w:r>
      <w:r w:rsidR="00977F2E" w:rsidRPr="00977F2E">
        <w:rPr>
          <w:b/>
          <w:bCs/>
        </w:rPr>
        <w:t>Judges</w:t>
      </w:r>
    </w:p>
    <w:p w14:paraId="7234633F" w14:textId="7D875882" w:rsidR="005A2394" w:rsidRPr="005A2394" w:rsidRDefault="005A2394" w:rsidP="005A2394">
      <w:r>
        <w:t xml:space="preserve">Because the books of 1 and 2 Samuel continue the narrative </w:t>
      </w:r>
      <w:r w:rsidR="0038300A">
        <w:t>that begins in Judges, a brief investigation of the period</w:t>
      </w:r>
      <w:r w:rsidR="00AC4E19">
        <w:t xml:space="preserve"> of the Judges</w:t>
      </w:r>
      <w:r>
        <w:t xml:space="preserve"> is needed.</w:t>
      </w:r>
      <w:r>
        <w:rPr>
          <w:rStyle w:val="FootnoteReference"/>
        </w:rPr>
        <w:footnoteReference w:id="4"/>
      </w:r>
    </w:p>
    <w:p w14:paraId="5D71FE20" w14:textId="32EB7113" w:rsidR="009B210F" w:rsidRPr="009B210F" w:rsidRDefault="009B210F" w:rsidP="009B210F">
      <w:r w:rsidRPr="009B210F">
        <w:rPr>
          <w:i/>
          <w:iCs/>
        </w:rPr>
        <w:t>Authorship</w:t>
      </w:r>
      <w:r w:rsidR="00387891">
        <w:rPr>
          <w:i/>
          <w:iCs/>
        </w:rPr>
        <w:t xml:space="preserve"> of Judges</w:t>
      </w:r>
      <w:r w:rsidRPr="009B210F">
        <w:rPr>
          <w:b/>
          <w:bCs/>
        </w:rPr>
        <w:t xml:space="preserve"> </w:t>
      </w:r>
      <w:r w:rsidR="00593C79">
        <w:t>Although Scripture does not clearly indicate the author’s identity,</w:t>
      </w:r>
      <w:r w:rsidRPr="009B210F">
        <w:t xml:space="preserve"> Jewish tradition identifies Samuel as the author. </w:t>
      </w:r>
    </w:p>
    <w:p w14:paraId="25288731" w14:textId="16017BB5" w:rsidR="008D3D06" w:rsidRDefault="009B210F" w:rsidP="009B210F">
      <w:r w:rsidRPr="009B210F">
        <w:rPr>
          <w:i/>
          <w:iCs/>
        </w:rPr>
        <w:t>Scope</w:t>
      </w:r>
      <w:r w:rsidR="00387891">
        <w:rPr>
          <w:i/>
          <w:iCs/>
        </w:rPr>
        <w:t xml:space="preserve"> of Judges</w:t>
      </w:r>
      <w:r w:rsidRPr="009B210F">
        <w:t xml:space="preserve"> In Joshua 24:19-20, Joshua warns the people that they will be unfaithful to the Lord and eventually bring disaster </w:t>
      </w:r>
      <w:r w:rsidR="00212521">
        <w:t>up</w:t>
      </w:r>
      <w:r w:rsidRPr="009B210F">
        <w:t>on themselves. The story of Judges confirms Joshua’s words. For several centuries, the following cycle occurred:</w:t>
      </w:r>
      <w:r w:rsidR="00B92818">
        <w:t xml:space="preserve"> </w:t>
      </w:r>
      <w:r w:rsidRPr="009B210F">
        <w:t xml:space="preserve">1). The people </w:t>
      </w:r>
      <w:r w:rsidR="00212521">
        <w:t>abandon</w:t>
      </w:r>
      <w:r w:rsidRPr="009B210F">
        <w:t xml:space="preserve"> the Lord,</w:t>
      </w:r>
      <w:r w:rsidR="00CD36BB">
        <w:t xml:space="preserve">    </w:t>
      </w:r>
      <w:r w:rsidRPr="009B210F">
        <w:t xml:space="preserve"> 2). God punishe</w:t>
      </w:r>
      <w:r w:rsidR="00212521">
        <w:t>s</w:t>
      </w:r>
      <w:r w:rsidRPr="009B210F">
        <w:t xml:space="preserve"> them by raising up a foreign power to oppress them, 3). The people cr</w:t>
      </w:r>
      <w:r w:rsidR="00212521">
        <w:t xml:space="preserve">y </w:t>
      </w:r>
      <w:r w:rsidRPr="009B210F">
        <w:t>out to the Lord for deliverance, and</w:t>
      </w:r>
      <w:r>
        <w:t xml:space="preserve"> </w:t>
      </w:r>
      <w:r w:rsidRPr="009B210F">
        <w:t>4). God raise</w:t>
      </w:r>
      <w:r w:rsidR="00212521">
        <w:t>s</w:t>
      </w:r>
      <w:r w:rsidRPr="009B210F">
        <w:t xml:space="preserve"> up a military leader (a judge) for them.</w:t>
      </w:r>
      <w:r w:rsidR="008D3D06" w:rsidRPr="008D3D06">
        <w:t xml:space="preserve"> </w:t>
      </w:r>
    </w:p>
    <w:p w14:paraId="713E3B70" w14:textId="4AFBD343" w:rsidR="009B210F" w:rsidRDefault="008D3D06" w:rsidP="009B210F">
      <w:r w:rsidRPr="006031D7">
        <w:t>The shortest plausible length of the period</w:t>
      </w:r>
      <w:r>
        <w:t xml:space="preserve"> of the Judges</w:t>
      </w:r>
      <w:r w:rsidRPr="006031D7">
        <w:t xml:space="preserve"> is 150 years. The longest plausible </w:t>
      </w:r>
      <w:r>
        <w:t>length</w:t>
      </w:r>
      <w:r w:rsidRPr="006031D7">
        <w:t xml:space="preserve"> is around 400 years. </w:t>
      </w:r>
      <w:r w:rsidRPr="00152B39">
        <w:t xml:space="preserve">The judges </w:t>
      </w:r>
      <w:r w:rsidR="00E1293D">
        <w:t>are</w:t>
      </w:r>
      <w:r>
        <w:t xml:space="preserve"> c</w:t>
      </w:r>
      <w:r w:rsidRPr="00152B39">
        <w:t>harismatic leaders. They are not generally portrayed as exemplary or holy individuals</w:t>
      </w:r>
      <w:r w:rsidR="00E1293D">
        <w:t>; however, they are</w:t>
      </w:r>
      <w:r w:rsidRPr="00152B39">
        <w:t xml:space="preserve"> </w:t>
      </w:r>
      <w:r>
        <w:t>e</w:t>
      </w:r>
      <w:r w:rsidRPr="00152B39">
        <w:t>mpowered by the Spirit of God. This shows us, and showed them, that ultimately</w:t>
      </w:r>
      <w:r>
        <w:t>,</w:t>
      </w:r>
      <w:r w:rsidRPr="00152B39">
        <w:t xml:space="preserve"> God is the deliverer of His people.</w:t>
      </w:r>
    </w:p>
    <w:p w14:paraId="6B3F435D" w14:textId="4889440F" w:rsidR="00B6647C" w:rsidRDefault="00505BAB" w:rsidP="00B6647C">
      <w:r>
        <w:t xml:space="preserve">The Book of Judges mentions 12 judges. In English, we tend to think of legal authorities when we consider judges. However, </w:t>
      </w:r>
      <w:r w:rsidR="00593C79">
        <w:t>these judges are military leaders whom God raises</w:t>
      </w:r>
      <w:r>
        <w:t xml:space="preserve"> up to deliver His people. The judges fill the gap between the people</w:t>
      </w:r>
      <w:r w:rsidR="00575568">
        <w:t>’</w:t>
      </w:r>
      <w:r>
        <w:t>s entrance</w:t>
      </w:r>
      <w:r w:rsidR="00B6647C" w:rsidRPr="00B6647C">
        <w:t xml:space="preserve"> into the Promised Land under Joshua </w:t>
      </w:r>
      <w:r w:rsidR="00064EB5">
        <w:t>and</w:t>
      </w:r>
      <w:r w:rsidR="00B6647C" w:rsidRPr="00B6647C">
        <w:t xml:space="preserve"> the time of the United Monarchy. </w:t>
      </w:r>
    </w:p>
    <w:p w14:paraId="484BCA8D" w14:textId="022CA785" w:rsidR="00AF5326" w:rsidRPr="00AF5326" w:rsidRDefault="00E93BCB" w:rsidP="00B1674C">
      <w:r>
        <w:t xml:space="preserve">The book of Judges discusses six </w:t>
      </w:r>
      <w:r w:rsidRPr="00514173">
        <w:rPr>
          <w:i/>
          <w:iCs/>
        </w:rPr>
        <w:t>major</w:t>
      </w:r>
      <w:r>
        <w:t xml:space="preserve"> judges</w:t>
      </w:r>
      <w:r w:rsidR="00AF5326" w:rsidRPr="00AF5326">
        <w:t>:</w:t>
      </w:r>
      <w:r w:rsidR="00B1674C">
        <w:t xml:space="preserve"> </w:t>
      </w:r>
      <w:r w:rsidR="00AF5326" w:rsidRPr="00AF5326">
        <w:t>Othniel (3:7-11)</w:t>
      </w:r>
      <w:r w:rsidR="00B1674C">
        <w:t>,</w:t>
      </w:r>
      <w:r w:rsidR="00AF5326" w:rsidRPr="00AF5326">
        <w:t xml:space="preserve"> Ehud (3:12-30)</w:t>
      </w:r>
      <w:r w:rsidR="00B1674C">
        <w:t>,</w:t>
      </w:r>
      <w:r w:rsidR="00AF5326" w:rsidRPr="00AF5326">
        <w:t xml:space="preserve"> Deborah (4:1-5:31)</w:t>
      </w:r>
      <w:r w:rsidR="00B1674C">
        <w:t>,</w:t>
      </w:r>
      <w:r w:rsidR="00AF5326" w:rsidRPr="00AF5326">
        <w:t xml:space="preserve"> Gideon (6:1-8:28)</w:t>
      </w:r>
      <w:r w:rsidR="00B1674C">
        <w:t xml:space="preserve">, </w:t>
      </w:r>
      <w:r>
        <w:t>Jephthah</w:t>
      </w:r>
      <w:r w:rsidR="00AF5326" w:rsidRPr="00AF5326">
        <w:t xml:space="preserve"> (10:6-12:7)</w:t>
      </w:r>
      <w:r w:rsidR="00B1674C">
        <w:t xml:space="preserve">, and </w:t>
      </w:r>
      <w:r w:rsidR="00AF5326" w:rsidRPr="00AF5326">
        <w:t>Samson (13:1-15:20)</w:t>
      </w:r>
      <w:r w:rsidR="00B1674C">
        <w:t>.</w:t>
      </w:r>
    </w:p>
    <w:p w14:paraId="4C5581E9" w14:textId="77777777" w:rsidR="00DD5023" w:rsidRDefault="009A0153" w:rsidP="009A0153">
      <w:pPr>
        <w:rPr>
          <w:i/>
          <w:iCs/>
        </w:rPr>
      </w:pPr>
      <w:r w:rsidRPr="009A0153">
        <w:rPr>
          <w:i/>
          <w:iCs/>
        </w:rPr>
        <w:t xml:space="preserve">The Story of Judges </w:t>
      </w:r>
    </w:p>
    <w:p w14:paraId="47CC01EF" w14:textId="5244B61F" w:rsidR="009A0153" w:rsidRPr="009A0153" w:rsidRDefault="009A0153" w:rsidP="009A0153">
      <w:r w:rsidRPr="00465435">
        <w:rPr>
          <w:u w:val="single"/>
        </w:rPr>
        <w:t>Introduction (1:1-2:5)</w:t>
      </w:r>
      <w:r w:rsidRPr="009A0153">
        <w:rPr>
          <w:b/>
          <w:bCs/>
        </w:rPr>
        <w:t xml:space="preserve"> </w:t>
      </w:r>
      <w:r w:rsidRPr="009A0153">
        <w:t xml:space="preserve">Judges opens by showing how the Israelites </w:t>
      </w:r>
      <w:r w:rsidR="00E93BCB">
        <w:t>disobey</w:t>
      </w:r>
      <w:r w:rsidRPr="009A0153">
        <w:t xml:space="preserve"> the Lord by </w:t>
      </w:r>
      <w:r w:rsidR="00E93BCB">
        <w:t xml:space="preserve">not </w:t>
      </w:r>
      <w:r w:rsidRPr="009A0153">
        <w:t xml:space="preserve">driving out the Canaanites from the land. In time, the Israelites </w:t>
      </w:r>
      <w:r>
        <w:t>succumb</w:t>
      </w:r>
      <w:r w:rsidRPr="009A0153">
        <w:t xml:space="preserve"> to </w:t>
      </w:r>
      <w:r w:rsidR="00E93BCB">
        <w:t xml:space="preserve">the </w:t>
      </w:r>
      <w:r w:rsidRPr="009A0153">
        <w:t>false religion and pagan culture of the Canaanites. The main reason Israel fail</w:t>
      </w:r>
      <w:r w:rsidR="00E93BCB">
        <w:t>s</w:t>
      </w:r>
      <w:r w:rsidRPr="009A0153">
        <w:t xml:space="preserve"> to complete the conquest of Canaan</w:t>
      </w:r>
      <w:r w:rsidR="00E93BCB">
        <w:t xml:space="preserve"> i</w:t>
      </w:r>
      <w:r w:rsidRPr="009A0153">
        <w:t xml:space="preserve">s because they disobey the covenant. </w:t>
      </w:r>
    </w:p>
    <w:p w14:paraId="787316F2" w14:textId="29C70BBF" w:rsidR="009A0153" w:rsidRDefault="009A0153" w:rsidP="009A0153">
      <w:r w:rsidRPr="00465435">
        <w:rPr>
          <w:u w:val="single"/>
        </w:rPr>
        <w:t>Main Body (2:6-16:31)</w:t>
      </w:r>
      <w:r w:rsidRPr="009A0153">
        <w:rPr>
          <w:b/>
          <w:bCs/>
        </w:rPr>
        <w:t xml:space="preserve"> </w:t>
      </w:r>
      <w:r w:rsidRPr="009A0153">
        <w:t xml:space="preserve">The cycle is first laid out in 2:6-3:6. (sin, judgment, repentance, deliverance) </w:t>
      </w:r>
      <w:r w:rsidR="004D29F4">
        <w:t>T</w:t>
      </w:r>
      <w:r w:rsidRPr="009A0153">
        <w:t>he observation that the “Israelites did evil in the eyes of the Lord”</w:t>
      </w:r>
      <w:r w:rsidR="004D29F4">
        <w:t xml:space="preserve"> introduces e</w:t>
      </w:r>
      <w:r w:rsidR="004D29F4" w:rsidRPr="009A0153">
        <w:t>ach cycle</w:t>
      </w:r>
      <w:r w:rsidR="004D29F4">
        <w:t xml:space="preserve">. </w:t>
      </w:r>
      <w:r w:rsidRPr="009A0153">
        <w:t xml:space="preserve">(2:11; 3:7, 12; 4:1; 6:1; 10:6; 13:1) </w:t>
      </w:r>
    </w:p>
    <w:p w14:paraId="27AE6C10" w14:textId="253D516B" w:rsidR="01EB8908" w:rsidRPr="00852D05" w:rsidRDefault="0058518C" w:rsidP="00852D05">
      <w:r w:rsidRPr="01EB8908">
        <w:rPr>
          <w:u w:val="single"/>
        </w:rPr>
        <w:t>Appendixes (17-21)</w:t>
      </w:r>
      <w:r w:rsidRPr="01EB8908">
        <w:rPr>
          <w:b/>
          <w:bCs/>
        </w:rPr>
        <w:t xml:space="preserve"> </w:t>
      </w:r>
      <w:r>
        <w:t xml:space="preserve">This section of Judges does not present a chronological history of the period. Instead, it portrays what life was like before </w:t>
      </w:r>
      <w:r w:rsidR="00F374A9">
        <w:t>the first</w:t>
      </w:r>
      <w:r>
        <w:t xml:space="preserve"> king </w:t>
      </w:r>
      <w:r w:rsidR="00F374A9">
        <w:t>of</w:t>
      </w:r>
      <w:r>
        <w:t xml:space="preserve"> Israel. The author shows how dangerous it is for people to “do what is right in their own eyes.” (17:6; 21:25) Even today, we need a standard for morality. As fallen creatures, we </w:t>
      </w:r>
      <w:r w:rsidR="00A46C3B">
        <w:t>are</w:t>
      </w:r>
      <w:r>
        <w:t xml:space="preserve"> incapable of establishing our own.</w:t>
      </w:r>
      <w:r w:rsidR="00C454C7">
        <w:t xml:space="preserve"> </w:t>
      </w:r>
      <w:r>
        <w:t xml:space="preserve">The </w:t>
      </w:r>
      <w:r w:rsidR="001C6D3B">
        <w:t>appendices</w:t>
      </w:r>
      <w:r>
        <w:t xml:space="preserve"> clearly set up the perceived need for a king in Israel. The people need leadership and structure. </w:t>
      </w:r>
    </w:p>
    <w:p w14:paraId="0DCF2768" w14:textId="77777777" w:rsidR="00411DC4" w:rsidRDefault="00411DC4" w:rsidP="00695B27">
      <w:pPr>
        <w:jc w:val="center"/>
        <w:rPr>
          <w:b/>
          <w:bCs/>
        </w:rPr>
      </w:pPr>
      <w:r>
        <w:rPr>
          <w:b/>
          <w:bCs/>
        </w:rPr>
        <w:lastRenderedPageBreak/>
        <w:t>Background Information for 1 and 2 Samuel</w:t>
      </w:r>
    </w:p>
    <w:p w14:paraId="1DAF0330" w14:textId="644B3D75" w:rsidR="00E450C7" w:rsidRDefault="00E450C7" w:rsidP="00411DC4">
      <w:pPr>
        <w:rPr>
          <w:i/>
          <w:iCs/>
        </w:rPr>
      </w:pPr>
      <w:r>
        <w:rPr>
          <w:i/>
          <w:iCs/>
        </w:rPr>
        <w:t xml:space="preserve">The </w:t>
      </w:r>
      <w:r w:rsidR="001A27AC">
        <w:rPr>
          <w:i/>
          <w:iCs/>
        </w:rPr>
        <w:t>Books</w:t>
      </w:r>
      <w:r>
        <w:rPr>
          <w:i/>
          <w:iCs/>
        </w:rPr>
        <w:t xml:space="preserve"> </w:t>
      </w:r>
    </w:p>
    <w:p w14:paraId="5C954084" w14:textId="5DA4D9E9" w:rsidR="00557AFE" w:rsidRPr="00E450C7" w:rsidRDefault="00BC1764" w:rsidP="00557AFE">
      <w:r>
        <w:t xml:space="preserve">The books </w:t>
      </w:r>
      <w:r w:rsidR="00B030A1">
        <w:t xml:space="preserve">of 1 and 2 Samuel have carried </w:t>
      </w:r>
      <w:r w:rsidR="00204AAD">
        <w:t>different</w:t>
      </w:r>
      <w:r w:rsidR="00B030A1">
        <w:t xml:space="preserve"> titles in other time periods and other religious traditions. </w:t>
      </w:r>
      <w:r w:rsidR="00204AAD">
        <w:t>Initially</w:t>
      </w:r>
      <w:r w:rsidR="00557AFE">
        <w:t>, Hebrew Bibles recognized no division between the books of 1-2 Samuel. The first Hebrew Bible to split Samuel into two books was the Bomberg edition in 1516/17. Previously, the longer book (1-2 Sam</w:t>
      </w:r>
      <w:r w:rsidR="001C56D0">
        <w:t>.</w:t>
      </w:r>
      <w:r w:rsidR="00557AFE">
        <w:t xml:space="preserve"> in the Protestant Canon) was simply entitled Samuel.  </w:t>
      </w:r>
    </w:p>
    <w:p w14:paraId="26A67699" w14:textId="34AA6F87" w:rsidR="00E85BD7" w:rsidRDefault="00557AFE" w:rsidP="00411DC4">
      <w:r>
        <w:t>T</w:t>
      </w:r>
      <w:r w:rsidR="00B030A1">
        <w:t xml:space="preserve">he </w:t>
      </w:r>
      <w:r w:rsidR="00450AAD">
        <w:t>LXX and the Eastern Orthodox Church titled these books as 1 and 2 Kingdoms.</w:t>
      </w:r>
      <w:r w:rsidR="00E20FDD">
        <w:rPr>
          <w:rStyle w:val="FootnoteReference"/>
        </w:rPr>
        <w:footnoteReference w:id="5"/>
      </w:r>
      <w:r w:rsidR="00450AAD">
        <w:t xml:space="preserve"> </w:t>
      </w:r>
      <w:r w:rsidR="00492AAC">
        <w:t>In the Catholic and Vulgate traditions, they are titled 1 and 2 Kings</w:t>
      </w:r>
      <w:r w:rsidR="00306E81">
        <w:t xml:space="preserve">. Both the Orthodox and Catholic traditions </w:t>
      </w:r>
      <w:r w:rsidR="00A70C6C">
        <w:t>understand the book</w:t>
      </w:r>
      <w:r w:rsidR="00E20FDD">
        <w:t>s</w:t>
      </w:r>
      <w:r w:rsidR="00A70C6C">
        <w:t xml:space="preserve"> of Samuel and Kings as a single, larger </w:t>
      </w:r>
      <w:r w:rsidR="002731DB">
        <w:t>literary unit</w:t>
      </w:r>
      <w:r w:rsidR="00A70C6C">
        <w:t xml:space="preserve"> split into </w:t>
      </w:r>
      <w:r w:rsidR="00673DC2">
        <w:t xml:space="preserve">four smaller books. </w:t>
      </w:r>
    </w:p>
    <w:tbl>
      <w:tblPr>
        <w:tblStyle w:val="TableGrid"/>
        <w:tblW w:w="0" w:type="auto"/>
        <w:tblLook w:val="04A0" w:firstRow="1" w:lastRow="0" w:firstColumn="1" w:lastColumn="0" w:noHBand="0" w:noVBand="1"/>
      </w:tblPr>
      <w:tblGrid>
        <w:gridCol w:w="3116"/>
        <w:gridCol w:w="3117"/>
        <w:gridCol w:w="3117"/>
      </w:tblGrid>
      <w:tr w:rsidR="00E6456E" w14:paraId="28685B29" w14:textId="77777777" w:rsidTr="00E6456E">
        <w:tc>
          <w:tcPr>
            <w:tcW w:w="3116" w:type="dxa"/>
          </w:tcPr>
          <w:p w14:paraId="7DA4E8B0" w14:textId="15F7A7AC" w:rsidR="00E6456E" w:rsidRDefault="00E6456E" w:rsidP="00411DC4">
            <w:r>
              <w:t>Protestant Canon</w:t>
            </w:r>
          </w:p>
        </w:tc>
        <w:tc>
          <w:tcPr>
            <w:tcW w:w="3117" w:type="dxa"/>
          </w:tcPr>
          <w:p w14:paraId="3A7F9BB4" w14:textId="7CCE46EE" w:rsidR="00E6456E" w:rsidRDefault="00E6456E" w:rsidP="00411DC4">
            <w:r>
              <w:t xml:space="preserve">Orthodox Canon </w:t>
            </w:r>
          </w:p>
        </w:tc>
        <w:tc>
          <w:tcPr>
            <w:tcW w:w="3117" w:type="dxa"/>
          </w:tcPr>
          <w:p w14:paraId="4C85144B" w14:textId="762ADD02" w:rsidR="00E6456E" w:rsidRDefault="00657F1B" w:rsidP="00411DC4">
            <w:r>
              <w:t>Catholic Canon</w:t>
            </w:r>
          </w:p>
        </w:tc>
      </w:tr>
      <w:tr w:rsidR="00E6456E" w14:paraId="1E8D5D1B" w14:textId="77777777" w:rsidTr="00E6456E">
        <w:tc>
          <w:tcPr>
            <w:tcW w:w="3116" w:type="dxa"/>
          </w:tcPr>
          <w:p w14:paraId="467E0C89" w14:textId="462490FE" w:rsidR="00E6456E" w:rsidRDefault="00E6456E" w:rsidP="00411DC4">
            <w:r>
              <w:t>1-2 Samuel</w:t>
            </w:r>
          </w:p>
        </w:tc>
        <w:tc>
          <w:tcPr>
            <w:tcW w:w="3117" w:type="dxa"/>
          </w:tcPr>
          <w:p w14:paraId="6CB3B909" w14:textId="3DEF4084" w:rsidR="00E6456E" w:rsidRDefault="00657F1B" w:rsidP="00411DC4">
            <w:r>
              <w:t>1-</w:t>
            </w:r>
            <w:r w:rsidR="00C84E6C">
              <w:t>2</w:t>
            </w:r>
            <w:r>
              <w:t xml:space="preserve"> Kingdoms</w:t>
            </w:r>
          </w:p>
        </w:tc>
        <w:tc>
          <w:tcPr>
            <w:tcW w:w="3117" w:type="dxa"/>
          </w:tcPr>
          <w:p w14:paraId="45CE833C" w14:textId="2408FEC6" w:rsidR="00E6456E" w:rsidRDefault="00657F1B" w:rsidP="00411DC4">
            <w:r>
              <w:t>1-</w:t>
            </w:r>
            <w:r w:rsidR="00C84E6C">
              <w:t>2</w:t>
            </w:r>
            <w:r>
              <w:t xml:space="preserve"> Kings </w:t>
            </w:r>
          </w:p>
        </w:tc>
      </w:tr>
      <w:tr w:rsidR="00E6456E" w14:paraId="582A5A6D" w14:textId="77777777" w:rsidTr="00E6456E">
        <w:tc>
          <w:tcPr>
            <w:tcW w:w="3116" w:type="dxa"/>
          </w:tcPr>
          <w:p w14:paraId="30399326" w14:textId="06ED253C" w:rsidR="00E6456E" w:rsidRDefault="00E6456E" w:rsidP="00411DC4">
            <w:r>
              <w:t xml:space="preserve">1-2 Kings </w:t>
            </w:r>
          </w:p>
        </w:tc>
        <w:tc>
          <w:tcPr>
            <w:tcW w:w="3117" w:type="dxa"/>
          </w:tcPr>
          <w:p w14:paraId="2BCEF771" w14:textId="61A5FFED" w:rsidR="00E6456E" w:rsidRDefault="00C84E6C" w:rsidP="00411DC4">
            <w:r>
              <w:t>3-4 Kingdoms</w:t>
            </w:r>
          </w:p>
        </w:tc>
        <w:tc>
          <w:tcPr>
            <w:tcW w:w="3117" w:type="dxa"/>
          </w:tcPr>
          <w:p w14:paraId="3DF76D56" w14:textId="3E980CC9" w:rsidR="00E6456E" w:rsidRDefault="00C84E6C" w:rsidP="00411DC4">
            <w:r>
              <w:t xml:space="preserve">3-4 Kings </w:t>
            </w:r>
          </w:p>
        </w:tc>
      </w:tr>
    </w:tbl>
    <w:p w14:paraId="2568F881" w14:textId="6429C8A2" w:rsidR="00E85BD7" w:rsidRDefault="003370C9" w:rsidP="00411DC4">
      <w:r>
        <w:t xml:space="preserve">                                                                                                                                                      </w:t>
      </w:r>
      <w:r w:rsidR="00CC6578">
        <w:t xml:space="preserve">The naming of the books of 1 and 2 Samuel is a bit of a misnomer as </w:t>
      </w:r>
      <w:r w:rsidR="00903AA6">
        <w:t>the prophet Samuel dies in 1 Sam</w:t>
      </w:r>
      <w:r w:rsidR="00A25B21">
        <w:t>uel</w:t>
      </w:r>
      <w:r w:rsidR="00903AA6">
        <w:t xml:space="preserve"> 25.</w:t>
      </w:r>
      <w:r w:rsidR="00184F50">
        <w:t xml:space="preserve"> Furthermore, the </w:t>
      </w:r>
      <w:r w:rsidR="00A77650">
        <w:t>books’</w:t>
      </w:r>
      <w:r w:rsidR="008844C2">
        <w:t xml:space="preserve"> narrative</w:t>
      </w:r>
      <w:r w:rsidR="007F3E20">
        <w:t>s</w:t>
      </w:r>
      <w:r w:rsidR="008844C2">
        <w:t xml:space="preserve"> primarily </w:t>
      </w:r>
      <w:r w:rsidR="007F3E20">
        <w:t>revolve</w:t>
      </w:r>
      <w:r w:rsidR="008844C2">
        <w:t xml:space="preserve"> around Saul and David and not Samuel. </w:t>
      </w:r>
      <w:r w:rsidR="00E05DA9">
        <w:t>Even the division of the books in the Protestant Canon display this as 1 Sam</w:t>
      </w:r>
      <w:r w:rsidR="001D4532">
        <w:t>uel</w:t>
      </w:r>
      <w:r w:rsidR="00E05DA9">
        <w:t xml:space="preserve"> ends with the death of Saul and not Samuel</w:t>
      </w:r>
      <w:r w:rsidR="00381AD3">
        <w:t>.</w:t>
      </w:r>
      <w:r w:rsidR="00E05DA9">
        <w:t xml:space="preserve"> (</w:t>
      </w:r>
      <w:r w:rsidR="008F39AE">
        <w:t>1 Sam</w:t>
      </w:r>
      <w:r w:rsidR="0080655F">
        <w:t>.</w:t>
      </w:r>
      <w:r w:rsidR="008F39AE">
        <w:t xml:space="preserve"> 31)</w:t>
      </w:r>
    </w:p>
    <w:p w14:paraId="2D0AE792" w14:textId="63C1D255" w:rsidR="00A969FD" w:rsidRDefault="00A969FD" w:rsidP="00411DC4">
      <w:pPr>
        <w:rPr>
          <w:i/>
          <w:iCs/>
        </w:rPr>
      </w:pPr>
      <w:r>
        <w:rPr>
          <w:i/>
          <w:iCs/>
        </w:rPr>
        <w:t>Authorship</w:t>
      </w:r>
    </w:p>
    <w:p w14:paraId="5F82D16E" w14:textId="15A4E3BA" w:rsidR="00A969FD" w:rsidRDefault="001D4532" w:rsidP="00411DC4">
      <w:r>
        <w:t>Like Judges, t</w:t>
      </w:r>
      <w:r w:rsidR="008F39AE">
        <w:t>he authorship of 1-2 Sam</w:t>
      </w:r>
      <w:r>
        <w:t>uel</w:t>
      </w:r>
      <w:r w:rsidR="008F39AE">
        <w:t xml:space="preserve"> is anonymous. </w:t>
      </w:r>
      <w:r w:rsidR="00A5061B">
        <w:t xml:space="preserve">The Talmud preserves the rabbinic tradition that </w:t>
      </w:r>
      <w:r w:rsidR="00177184">
        <w:t>Samuel authored the content in 1 Sam</w:t>
      </w:r>
      <w:r w:rsidR="00A25B21">
        <w:t>uel</w:t>
      </w:r>
      <w:r w:rsidR="00177184">
        <w:t xml:space="preserve"> 1-24</w:t>
      </w:r>
      <w:r>
        <w:t>,</w:t>
      </w:r>
      <w:r w:rsidR="000F1162">
        <w:t xml:space="preserve"> and the rest of the material is attributed to </w:t>
      </w:r>
      <w:r w:rsidR="003D3B9E">
        <w:t xml:space="preserve">the prophets </w:t>
      </w:r>
      <w:r w:rsidR="000F1162">
        <w:t xml:space="preserve">Nathan and Gad. </w:t>
      </w:r>
      <w:r w:rsidR="00B173DE">
        <w:t xml:space="preserve">This Jewish tradition </w:t>
      </w:r>
      <w:r w:rsidR="003D3B9E">
        <w:t>is</w:t>
      </w:r>
      <w:r w:rsidR="00B173DE">
        <w:t xml:space="preserve"> based on 1 Chron</w:t>
      </w:r>
      <w:r w:rsidR="0060565E">
        <w:t>ic</w:t>
      </w:r>
      <w:r w:rsidR="0080655F">
        <w:t>les</w:t>
      </w:r>
      <w:r w:rsidR="00B173DE">
        <w:t xml:space="preserve"> 29:29, </w:t>
      </w:r>
      <w:r w:rsidR="00E869DF" w:rsidRPr="00424444">
        <w:t>“</w:t>
      </w:r>
      <w:r w:rsidR="00772A66" w:rsidRPr="00772A66">
        <w:t>Now the acts of King David, from first to last, are written in the Chronicles of Samuel the seer, and in the Chronicles of Nathan the prophet, and in the Chronicles of Gad the see</w:t>
      </w:r>
      <w:r w:rsidR="00772A66">
        <w:t xml:space="preserve">r.” </w:t>
      </w:r>
      <w:r w:rsidR="00E869DF">
        <w:t>(ESV)</w:t>
      </w:r>
    </w:p>
    <w:p w14:paraId="0B6A0F09" w14:textId="4A22831F" w:rsidR="005D2CC2" w:rsidRDefault="00A95B77" w:rsidP="00411DC4">
      <w:r>
        <w:t xml:space="preserve">According to Bergen, </w:t>
      </w:r>
      <w:r w:rsidR="004E611D">
        <w:t xml:space="preserve">“Although many modern scholars believe Samuel played an important </w:t>
      </w:r>
      <w:r w:rsidR="004378BA">
        <w:t>role in recording some of the material that now comprises the work, the consensus view is that the development of the original canonical (=autographic) form of the book was relatively</w:t>
      </w:r>
      <w:r w:rsidR="004E611D">
        <w:t xml:space="preserve"> complex.”</w:t>
      </w:r>
      <w:r w:rsidR="004378BA">
        <w:rPr>
          <w:rStyle w:val="FootnoteReference"/>
        </w:rPr>
        <w:footnoteReference w:id="6"/>
      </w:r>
      <w:r w:rsidR="00E305A5">
        <w:t xml:space="preserve"> </w:t>
      </w:r>
      <w:r w:rsidR="005D2CC2">
        <w:t xml:space="preserve">While the genesis </w:t>
      </w:r>
      <w:r w:rsidR="00BC5859">
        <w:t>for 1-2 Sam</w:t>
      </w:r>
      <w:r w:rsidR="00961E48">
        <w:t>uel</w:t>
      </w:r>
      <w:r w:rsidR="00BC5859">
        <w:t xml:space="preserve"> </w:t>
      </w:r>
      <w:r w:rsidR="00961E48">
        <w:t>c</w:t>
      </w:r>
      <w:r w:rsidR="00BC5859">
        <w:t>omes from the eleventh century B.C., the</w:t>
      </w:r>
      <w:r w:rsidR="00110B93">
        <w:t xml:space="preserve"> books did not reach their final form until </w:t>
      </w:r>
      <w:r w:rsidR="00C458C8">
        <w:t xml:space="preserve">the Babylonian exile or shortly thereafter. </w:t>
      </w:r>
      <w:r w:rsidR="007B1B7D">
        <w:t xml:space="preserve">The biblical text </w:t>
      </w:r>
      <w:r w:rsidR="006C1189">
        <w:t>demonstrates</w:t>
      </w:r>
      <w:r w:rsidR="007B1B7D">
        <w:t xml:space="preserve"> this in several ways:</w:t>
      </w:r>
    </w:p>
    <w:p w14:paraId="11AA1E33" w14:textId="51F37A23" w:rsidR="005157FB" w:rsidRDefault="005157FB" w:rsidP="007B1B7D">
      <w:pPr>
        <w:pStyle w:val="ListParagraph"/>
        <w:numPr>
          <w:ilvl w:val="0"/>
          <w:numId w:val="19"/>
        </w:numPr>
      </w:pPr>
      <w:r>
        <w:lastRenderedPageBreak/>
        <w:t>1 Sam</w:t>
      </w:r>
      <w:r w:rsidR="0060565E">
        <w:t>uel</w:t>
      </w:r>
      <w:r>
        <w:t xml:space="preserve"> 9:9 reads, “</w:t>
      </w:r>
      <w:r w:rsidRPr="005157FB">
        <w:t xml:space="preserve">Formerly in Israel, when a man went to inquire of God, he said, </w:t>
      </w:r>
      <w:r w:rsidR="00427A2B">
        <w:t>‘</w:t>
      </w:r>
      <w:r w:rsidRPr="005157FB">
        <w:t>Come, let us go to the seer,</w:t>
      </w:r>
      <w:r w:rsidR="00427A2B">
        <w:t>’</w:t>
      </w:r>
      <w:r w:rsidRPr="005157FB">
        <w:t xml:space="preserve"> for today</w:t>
      </w:r>
      <w:r w:rsidR="00E80F04">
        <w:t>’</w:t>
      </w:r>
      <w:r w:rsidRPr="005157FB">
        <w:t xml:space="preserve">s </w:t>
      </w:r>
      <w:r w:rsidR="00427A2B">
        <w:t>‘</w:t>
      </w:r>
      <w:r w:rsidRPr="005157FB">
        <w:t>prophet</w:t>
      </w:r>
      <w:r w:rsidR="00427A2B">
        <w:t>’</w:t>
      </w:r>
      <w:r w:rsidRPr="005157FB">
        <w:t xml:space="preserve"> was formerly called a seer</w:t>
      </w:r>
      <w:r>
        <w:t xml:space="preserve">.” </w:t>
      </w:r>
      <w:r w:rsidR="00FE46A1">
        <w:t xml:space="preserve">(ESV) </w:t>
      </w:r>
      <w:r w:rsidR="0085098E">
        <w:t>This seems to indicate that a term used as late as the 8</w:t>
      </w:r>
      <w:r w:rsidR="0085098E" w:rsidRPr="0085098E">
        <w:rPr>
          <w:vertAlign w:val="superscript"/>
        </w:rPr>
        <w:t>th</w:t>
      </w:r>
      <w:r w:rsidR="0085098E">
        <w:t xml:space="preserve"> century B.C.</w:t>
      </w:r>
      <w:r w:rsidR="00CD36BB">
        <w:t>,</w:t>
      </w:r>
      <w:r w:rsidR="0085098E">
        <w:t xml:space="preserve"> was outdated at the time of the writing. </w:t>
      </w:r>
    </w:p>
    <w:p w14:paraId="75B1B07C" w14:textId="138E400A" w:rsidR="00354184" w:rsidRDefault="00354184" w:rsidP="007B1B7D">
      <w:pPr>
        <w:pStyle w:val="ListParagraph"/>
        <w:numPr>
          <w:ilvl w:val="0"/>
          <w:numId w:val="19"/>
        </w:numPr>
      </w:pPr>
      <w:r>
        <w:t>1 Sam</w:t>
      </w:r>
      <w:r w:rsidR="0060565E">
        <w:t>uel</w:t>
      </w:r>
      <w:r>
        <w:t xml:space="preserve"> 27:6 reads, “</w:t>
      </w:r>
      <w:r w:rsidR="00DE7BD4" w:rsidRPr="00DE7BD4">
        <w:t xml:space="preserve">So that day Achish gave him Ziklag. </w:t>
      </w:r>
      <w:r w:rsidR="00427A2B" w:rsidRPr="00DE7BD4">
        <w:t>Therefore,</w:t>
      </w:r>
      <w:r w:rsidR="00DE7BD4" w:rsidRPr="00DE7BD4">
        <w:t xml:space="preserve"> Ziklag has belonged to the kings of Judah to this day</w:t>
      </w:r>
      <w:r w:rsidR="00DE7BD4">
        <w:t xml:space="preserve">.” (ESV) </w:t>
      </w:r>
      <w:r w:rsidR="00F81595">
        <w:t xml:space="preserve">The knowledge of the divided kingdom and the phrase “to this day” </w:t>
      </w:r>
      <w:r w:rsidR="00194B0A">
        <w:t>display</w:t>
      </w:r>
      <w:r w:rsidR="00106BE7">
        <w:t xml:space="preserve"> editorial knowledge.</w:t>
      </w:r>
    </w:p>
    <w:p w14:paraId="32DE5366" w14:textId="12D4F1E6" w:rsidR="007B1B7D" w:rsidRDefault="006C1189" w:rsidP="007B1B7D">
      <w:pPr>
        <w:pStyle w:val="ListParagraph"/>
        <w:numPr>
          <w:ilvl w:val="0"/>
          <w:numId w:val="19"/>
        </w:numPr>
      </w:pPr>
      <w:r>
        <w:t>2 Sam</w:t>
      </w:r>
      <w:r w:rsidR="0060565E">
        <w:t>uel</w:t>
      </w:r>
      <w:r>
        <w:t xml:space="preserve"> 5:4 reads, “</w:t>
      </w:r>
      <w:r w:rsidR="003E1783" w:rsidRPr="003E1783">
        <w:t>David was thirty years old when he began to reign, and he reigned forty years.</w:t>
      </w:r>
      <w:r w:rsidR="003E1783">
        <w:t xml:space="preserve">” (ESV) </w:t>
      </w:r>
      <w:r w:rsidR="00613EE3">
        <w:t xml:space="preserve">Clearly, the mention of the length of David’s reign </w:t>
      </w:r>
      <w:r w:rsidR="00A96CC0">
        <w:t>is a later addition.</w:t>
      </w:r>
    </w:p>
    <w:p w14:paraId="424AF605" w14:textId="4D8F170E" w:rsidR="00A96CC0" w:rsidRDefault="00897E90" w:rsidP="007B1B7D">
      <w:pPr>
        <w:pStyle w:val="ListParagraph"/>
        <w:numPr>
          <w:ilvl w:val="0"/>
          <w:numId w:val="19"/>
        </w:numPr>
      </w:pPr>
      <w:r>
        <w:t xml:space="preserve">Reference to the Book of Jashar </w:t>
      </w:r>
      <w:r w:rsidR="00415C92">
        <w:t xml:space="preserve">(2 Sam. 1:18) seems to indicate that </w:t>
      </w:r>
      <w:r w:rsidR="00AA4E2E">
        <w:t>1-2 Samuel were written using at least one other written source.</w:t>
      </w:r>
      <w:r w:rsidR="00AA4E2E">
        <w:rPr>
          <w:rStyle w:val="FootnoteReference"/>
        </w:rPr>
        <w:footnoteReference w:id="7"/>
      </w:r>
    </w:p>
    <w:p w14:paraId="70A4B3F9" w14:textId="4D057CBB" w:rsidR="00861503" w:rsidRDefault="006A0734" w:rsidP="006A0734">
      <w:r>
        <w:t xml:space="preserve">With all this in mind, </w:t>
      </w:r>
      <w:r w:rsidR="00834D52">
        <w:t>Jews living around the 5</w:t>
      </w:r>
      <w:r w:rsidR="00834D52" w:rsidRPr="008A7FC3">
        <w:rPr>
          <w:vertAlign w:val="superscript"/>
        </w:rPr>
        <w:t>th</w:t>
      </w:r>
      <w:r w:rsidR="00834D52">
        <w:t xml:space="preserve"> century B.C. were </w:t>
      </w:r>
      <w:r>
        <w:t>the first readers of the finalized form of 1 and 2 Samuel</w:t>
      </w:r>
      <w:r w:rsidR="00834D52">
        <w:t xml:space="preserve">. </w:t>
      </w:r>
      <w:r w:rsidR="00692BEB">
        <w:t xml:space="preserve">They would have </w:t>
      </w:r>
      <w:r w:rsidR="00052F03">
        <w:t xml:space="preserve">been working to put their nation back together and likely interested in </w:t>
      </w:r>
      <w:r w:rsidR="00645C87">
        <w:t>tracing the historical roots of t</w:t>
      </w:r>
      <w:r w:rsidR="00BD4FB2">
        <w:t>he theological and political issues that they were facing.</w:t>
      </w:r>
      <w:r w:rsidR="00BD4FB2">
        <w:rPr>
          <w:rStyle w:val="FootnoteReference"/>
        </w:rPr>
        <w:footnoteReference w:id="8"/>
      </w:r>
    </w:p>
    <w:p w14:paraId="1206CD7E" w14:textId="5D2C20B0" w:rsidR="00344970" w:rsidRPr="004966C7" w:rsidRDefault="004966C7" w:rsidP="006A0734">
      <w:pPr>
        <w:rPr>
          <w:i/>
          <w:iCs/>
        </w:rPr>
      </w:pPr>
      <w:r w:rsidRPr="004966C7">
        <w:rPr>
          <w:i/>
          <w:iCs/>
        </w:rPr>
        <w:t xml:space="preserve">Composition </w:t>
      </w:r>
    </w:p>
    <w:p w14:paraId="7AF7A44B" w14:textId="502E28C3" w:rsidR="00901396" w:rsidRDefault="00AA3411" w:rsidP="006A0734">
      <w:r>
        <w:t xml:space="preserve">Issues related to the composition of 1-2 Samuel </w:t>
      </w:r>
      <w:r w:rsidR="00127E20">
        <w:t>are quite complex.</w:t>
      </w:r>
      <w:r w:rsidR="006F77DE">
        <w:rPr>
          <w:rStyle w:val="FootnoteReference"/>
        </w:rPr>
        <w:footnoteReference w:id="9"/>
      </w:r>
      <w:r w:rsidR="00127E20">
        <w:t xml:space="preserve"> </w:t>
      </w:r>
      <w:r w:rsidR="001C42FD">
        <w:t xml:space="preserve">The books of 1-2 Samuel seem to </w:t>
      </w:r>
      <w:r w:rsidR="00EA0F5A">
        <w:t xml:space="preserve">have </w:t>
      </w:r>
      <w:r w:rsidR="001C42FD">
        <w:t xml:space="preserve">been originally part of a longer work </w:t>
      </w:r>
      <w:r w:rsidR="00EA0F5A">
        <w:t>that</w:t>
      </w:r>
      <w:r w:rsidR="001C42FD">
        <w:t xml:space="preserve"> traced Israel’s history from Moses to the destruction of Jerusalem by the Babylonians. </w:t>
      </w:r>
      <w:r w:rsidR="00480AB0">
        <w:t xml:space="preserve">This longer history is thought to have been composed of the following: Parts of Deuteronomy, </w:t>
      </w:r>
      <w:r w:rsidR="00EA0F5A">
        <w:t xml:space="preserve">Joshua, Judges, 1-2 Samuel, and 1-2 Kings. </w:t>
      </w:r>
      <w:r w:rsidR="001D7587">
        <w:t xml:space="preserve">“These books present a theological history of Israel, </w:t>
      </w:r>
      <w:r w:rsidR="00100FC5">
        <w:t>evaluating</w:t>
      </w:r>
      <w:r w:rsidR="001D7587">
        <w:t xml:space="preserve"> Israel’s past in light of the covenant relationship established in Deuteronomy</w:t>
      </w:r>
      <w:r w:rsidR="00100FC5">
        <w:t xml:space="preserve"> and relying on the so-called ‘retribution theology’ established there.”</w:t>
      </w:r>
      <w:r w:rsidR="00100FC5">
        <w:rPr>
          <w:rStyle w:val="FootnoteReference"/>
        </w:rPr>
        <w:footnoteReference w:id="10"/>
      </w:r>
      <w:r w:rsidR="002256FA">
        <w:t xml:space="preserve"> The idea of retribution theology is connected to the blessings and curses in </w:t>
      </w:r>
      <w:r w:rsidR="002E138D">
        <w:t>Deuteronomy</w:t>
      </w:r>
      <w:r w:rsidR="002256FA">
        <w:t xml:space="preserve"> 28</w:t>
      </w:r>
      <w:r w:rsidR="007F78F2">
        <w:t>,</w:t>
      </w:r>
      <w:r w:rsidR="002E138D">
        <w:t xml:space="preserve"> which teaches that obedience to the covenant will be rewarded while disobedience will be punished. </w:t>
      </w:r>
      <w:r w:rsidR="00AD0F45">
        <w:t>Because this longer history is believed to be based o</w:t>
      </w:r>
      <w:r w:rsidR="002934B2">
        <w:t>n the retribution theology of Deuteronomy, the history is commonly referred to as the Deuteronomic History.</w:t>
      </w:r>
    </w:p>
    <w:p w14:paraId="592364C8" w14:textId="04A17114" w:rsidR="00D825A3" w:rsidRDefault="008C7BA2" w:rsidP="006A0734">
      <w:r>
        <w:t xml:space="preserve">1-2 Samuel </w:t>
      </w:r>
      <w:r w:rsidR="000165C7">
        <w:t>seem to be based on</w:t>
      </w:r>
      <w:r w:rsidR="00785B95">
        <w:t xml:space="preserve"> previous material that was eventually folded </w:t>
      </w:r>
      <w:r w:rsidR="00817A20">
        <w:t>into</w:t>
      </w:r>
      <w:r w:rsidR="00785B95">
        <w:t xml:space="preserve"> the larger </w:t>
      </w:r>
      <w:r w:rsidR="00817A20">
        <w:t xml:space="preserve">history mentioned above. For this reason, </w:t>
      </w:r>
    </w:p>
    <w:p w14:paraId="358C91A9" w14:textId="26B3DAAC" w:rsidR="008C7BA2" w:rsidRDefault="00817A20" w:rsidP="00BC581D">
      <w:pPr>
        <w:ind w:left="720"/>
      </w:pPr>
      <w:r>
        <w:lastRenderedPageBreak/>
        <w:t>1-2 Samuel ha</w:t>
      </w:r>
      <w:r w:rsidR="00D825A3">
        <w:t>ve</w:t>
      </w:r>
      <w:r>
        <w:t xml:space="preserve"> the least amount of editorial and compositional detail that may be considered distinctly </w:t>
      </w:r>
      <w:r w:rsidR="00D825A3">
        <w:t>“</w:t>
      </w:r>
      <w:r>
        <w:t>Deuteronomistic</w:t>
      </w:r>
      <w:r w:rsidR="001A1D8F">
        <w:t>…</w:t>
      </w:r>
      <w:r w:rsidR="00742727">
        <w:t>.</w:t>
      </w:r>
      <w:r w:rsidR="00D825A3">
        <w:t>”</w:t>
      </w:r>
      <w:r w:rsidR="00742727">
        <w:t xml:space="preserve"> It seems likely that the historian had </w:t>
      </w:r>
      <w:r w:rsidR="00627973">
        <w:t>three narrative units available</w:t>
      </w:r>
      <w:r w:rsidR="00742727">
        <w:t>, which presumably had an independent history before being used to produce the books of S</w:t>
      </w:r>
      <w:r w:rsidR="008012DE">
        <w:t>a</w:t>
      </w:r>
      <w:r w:rsidR="00742727">
        <w:t>muel</w:t>
      </w:r>
      <w:r w:rsidR="00DD7EAE">
        <w:t>.</w:t>
      </w:r>
      <w:r w:rsidR="008012DE">
        <w:t xml:space="preserve"> These were: (1) the ark narrative</w:t>
      </w:r>
      <w:r w:rsidR="002317EE">
        <w:t>…;</w:t>
      </w:r>
      <w:r w:rsidR="008012DE">
        <w:t xml:space="preserve"> (2) the history of David’s rise…; and (3) the court history (otherwise known as the succession narrative)</w:t>
      </w:r>
      <w:r w:rsidR="00BC581D">
        <w:t>. These portions provided the skeletal features used by the final author of the books of Samuel. At places</w:t>
      </w:r>
      <w:r w:rsidR="005F0388">
        <w:t>,</w:t>
      </w:r>
      <w:r w:rsidR="00BC581D">
        <w:t xml:space="preserve"> they appear to have been supplemented with other material, serial lists, and appendices to comprise the whole package.</w:t>
      </w:r>
      <w:r w:rsidR="00BC581D">
        <w:rPr>
          <w:rStyle w:val="FootnoteReference"/>
        </w:rPr>
        <w:footnoteReference w:id="11"/>
      </w:r>
    </w:p>
    <w:p w14:paraId="56A50C8B" w14:textId="60683A63" w:rsidR="0000607D" w:rsidRDefault="0000607D" w:rsidP="006A0734">
      <w:pPr>
        <w:rPr>
          <w:i/>
          <w:iCs/>
        </w:rPr>
      </w:pPr>
      <w:r>
        <w:rPr>
          <w:i/>
          <w:iCs/>
        </w:rPr>
        <w:t>Purpose</w:t>
      </w:r>
    </w:p>
    <w:p w14:paraId="4AFAF30D" w14:textId="53399B0B" w:rsidR="00437B5D" w:rsidRDefault="00B53D8E" w:rsidP="006A0734">
      <w:r>
        <w:t>The narra</w:t>
      </w:r>
      <w:r w:rsidR="00AA5D6E">
        <w:t xml:space="preserve">tives of 1-2 Samuel display </w:t>
      </w:r>
      <w:r w:rsidR="00582B61">
        <w:t>Israel’s history of establishing and developing</w:t>
      </w:r>
      <w:r w:rsidR="00AA5D6E">
        <w:t xml:space="preserve"> the monarchy</w:t>
      </w:r>
      <w:r w:rsidR="007077BF">
        <w:t>. “We must remember, however, that</w:t>
      </w:r>
      <w:r w:rsidR="00AF5C3E">
        <w:t xml:space="preserve"> the biblical record was written primarily for a people whose interest in the past was motivated by concerns which differ considerably from those of the modern reader.”</w:t>
      </w:r>
      <w:r w:rsidR="00AF5C3E">
        <w:rPr>
          <w:rStyle w:val="FootnoteReference"/>
        </w:rPr>
        <w:footnoteReference w:id="12"/>
      </w:r>
      <w:r w:rsidR="00AF5C3E">
        <w:t xml:space="preserve"> </w:t>
      </w:r>
      <w:r w:rsidR="00641903">
        <w:t xml:space="preserve">The </w:t>
      </w:r>
      <w:r w:rsidR="00BD64F0">
        <w:t>Israelites’</w:t>
      </w:r>
      <w:r w:rsidR="00641903">
        <w:t xml:space="preserve"> primary concern in the monarchy’s history was </w:t>
      </w:r>
      <w:r w:rsidR="00BD64F0">
        <w:t xml:space="preserve">rooted in their desire to understand better the nature of God’s relationship with His people. </w:t>
      </w:r>
      <w:r w:rsidR="00437B5D">
        <w:t xml:space="preserve">As a result, the narrative </w:t>
      </w:r>
      <w:r w:rsidR="007239C8">
        <w:t xml:space="preserve">lacks details modern </w:t>
      </w:r>
      <w:r w:rsidR="00BB0FAD">
        <w:t>readers</w:t>
      </w:r>
      <w:r w:rsidR="007239C8">
        <w:t xml:space="preserve"> may want to know</w:t>
      </w:r>
      <w:r w:rsidR="00441D27">
        <w:t xml:space="preserve"> while offering </w:t>
      </w:r>
      <w:r w:rsidR="00C05621">
        <w:t>detailed descriptions of seemingly less important occurrences.</w:t>
      </w:r>
      <w:r w:rsidR="007239C8">
        <w:t xml:space="preserve"> (i.e.</w:t>
      </w:r>
      <w:r w:rsidR="00BB0FAD">
        <w:t>,</w:t>
      </w:r>
      <w:r w:rsidR="007239C8">
        <w:t xml:space="preserve"> </w:t>
      </w:r>
      <w:r w:rsidR="00441D27">
        <w:t>Details</w:t>
      </w:r>
      <w:r w:rsidR="007239C8">
        <w:t xml:space="preserve"> concerning the fall of Shiloh, the </w:t>
      </w:r>
      <w:r w:rsidR="00441D27">
        <w:t>center of Israel’s government at the time</w:t>
      </w:r>
      <w:r w:rsidR="00BB5BE3">
        <w:t>,</w:t>
      </w:r>
      <w:r w:rsidR="00441D27">
        <w:t xml:space="preserve"> vs. the abundant </w:t>
      </w:r>
      <w:r w:rsidR="00C05621">
        <w:t xml:space="preserve">details surrounding the capture of the ark and </w:t>
      </w:r>
      <w:r w:rsidR="00BB0FAD">
        <w:t>its movement in Philistine lands</w:t>
      </w:r>
      <w:r w:rsidR="001A1D8F">
        <w:t>.</w:t>
      </w:r>
      <w:r w:rsidR="00BB0FAD">
        <w:t xml:space="preserve">) </w:t>
      </w:r>
    </w:p>
    <w:p w14:paraId="56D205FB" w14:textId="51DEDA3D" w:rsidR="00BB0FAD" w:rsidRDefault="00EC7CC2" w:rsidP="006A0734">
      <w:r>
        <w:t>According to Philbeck,</w:t>
      </w:r>
    </w:p>
    <w:p w14:paraId="5BEF8538" w14:textId="0B6B5B7F" w:rsidR="00284582" w:rsidRPr="00284582" w:rsidRDefault="00EC7CC2" w:rsidP="00284582">
      <w:pPr>
        <w:ind w:left="720"/>
      </w:pPr>
      <w:r>
        <w:t>The author’s purpose in Samuel, therefore, was not to</w:t>
      </w:r>
      <w:r w:rsidR="00E5504F">
        <w:t xml:space="preserve"> </w:t>
      </w:r>
      <w:r>
        <w:t xml:space="preserve">write an </w:t>
      </w:r>
      <w:r w:rsidR="00E5504F">
        <w:t>abstract</w:t>
      </w:r>
      <w:r>
        <w:t xml:space="preserve"> record of isolated events in Israel’s past</w:t>
      </w:r>
      <w:r w:rsidR="00AB529F">
        <w:t xml:space="preserve">. Instead, he was attempting to extract from past </w:t>
      </w:r>
      <w:r w:rsidR="00E5504F">
        <w:t>occurrences</w:t>
      </w:r>
      <w:r w:rsidR="00AB529F">
        <w:t xml:space="preserve"> the principles upon which the </w:t>
      </w:r>
      <w:r w:rsidR="00E5504F">
        <w:t>Lord</w:t>
      </w:r>
      <w:r w:rsidR="00AB529F">
        <w:t xml:space="preserve"> based his </w:t>
      </w:r>
      <w:r w:rsidR="00E5504F">
        <w:t>relationship</w:t>
      </w:r>
      <w:r w:rsidR="00AB529F">
        <w:t xml:space="preserve"> to his people</w:t>
      </w:r>
      <w:r w:rsidR="001A1D8F">
        <w:t>.</w:t>
      </w:r>
      <w:r w:rsidR="00AB529F">
        <w:t xml:space="preserve"> Both the author and his readers saw God as the ultimate authority</w:t>
      </w:r>
      <w:r w:rsidR="00D05EED">
        <w:t xml:space="preserve"> behind all human history. The L</w:t>
      </w:r>
      <w:r w:rsidR="00E5504F">
        <w:t>ord</w:t>
      </w:r>
      <w:r w:rsidR="00D05EED">
        <w:t xml:space="preserve"> was always working for the supreme good of Israel, whethe</w:t>
      </w:r>
      <w:r w:rsidR="00E5504F">
        <w:t>r he acted in judgment or redemption.</w:t>
      </w:r>
      <w:r w:rsidR="00E5504F">
        <w:rPr>
          <w:rStyle w:val="FootnoteReference"/>
        </w:rPr>
        <w:footnoteReference w:id="13"/>
      </w:r>
    </w:p>
    <w:p w14:paraId="46568AC9" w14:textId="460F81B3" w:rsidR="0093655E" w:rsidRPr="00F44616" w:rsidRDefault="0093655E" w:rsidP="0093655E">
      <w:pPr>
        <w:jc w:val="both"/>
        <w:rPr>
          <w:i/>
          <w:iCs/>
        </w:rPr>
      </w:pPr>
      <w:r w:rsidRPr="00F44616">
        <w:rPr>
          <w:i/>
          <w:iCs/>
        </w:rPr>
        <w:t>Timeline</w:t>
      </w:r>
      <w:r w:rsidR="00F44616">
        <w:rPr>
          <w:rStyle w:val="FootnoteReference"/>
          <w:i/>
          <w:iCs/>
        </w:rPr>
        <w:footnoteReference w:id="14"/>
      </w:r>
    </w:p>
    <w:p w14:paraId="6C36DA67" w14:textId="3D98FFDD" w:rsidR="00284582" w:rsidRPr="00284582" w:rsidRDefault="0003327A" w:rsidP="00284582">
      <w:r>
        <w:rPr>
          <w:noProof/>
        </w:rPr>
        <w:drawing>
          <wp:inline distT="0" distB="0" distL="0" distR="0" wp14:anchorId="24D0A6F2" wp14:editId="7C57B92E">
            <wp:extent cx="5943600" cy="560705"/>
            <wp:effectExtent l="0" t="0" r="0" b="0"/>
            <wp:docPr id="20453158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60705"/>
                    </a:xfrm>
                    <a:prstGeom prst="rect">
                      <a:avLst/>
                    </a:prstGeom>
                    <a:noFill/>
                    <a:ln>
                      <a:noFill/>
                    </a:ln>
                  </pic:spPr>
                </pic:pic>
              </a:graphicData>
            </a:graphic>
          </wp:inline>
        </w:drawing>
      </w:r>
      <w:r w:rsidR="00284582">
        <w:rPr>
          <w:b/>
          <w:bCs/>
        </w:rPr>
        <w:br w:type="page"/>
      </w:r>
    </w:p>
    <w:p w14:paraId="4E260D5E" w14:textId="407BB002" w:rsidR="00D34B20" w:rsidRPr="00FC030C" w:rsidRDefault="000F4F1F" w:rsidP="000F4F1F">
      <w:pPr>
        <w:jc w:val="center"/>
        <w:rPr>
          <w:b/>
          <w:bCs/>
        </w:rPr>
      </w:pPr>
      <w:r w:rsidRPr="00FC030C">
        <w:rPr>
          <w:b/>
          <w:bCs/>
        </w:rPr>
        <w:lastRenderedPageBreak/>
        <w:t xml:space="preserve">Background Information for </w:t>
      </w:r>
      <w:r w:rsidR="00FC030C" w:rsidRPr="00FC030C">
        <w:rPr>
          <w:b/>
          <w:bCs/>
        </w:rPr>
        <w:t xml:space="preserve">Each Chapter of </w:t>
      </w:r>
      <w:r w:rsidRPr="00FC030C">
        <w:rPr>
          <w:b/>
          <w:bCs/>
        </w:rPr>
        <w:t xml:space="preserve">1 Samuel </w:t>
      </w:r>
    </w:p>
    <w:p w14:paraId="505062E5" w14:textId="36C19A70" w:rsidR="003C7557" w:rsidRPr="003C7557" w:rsidRDefault="003C7557" w:rsidP="00D34B20">
      <w:pPr>
        <w:rPr>
          <w:i/>
          <w:iCs/>
        </w:rPr>
      </w:pPr>
      <w:r w:rsidRPr="003C7557">
        <w:rPr>
          <w:i/>
          <w:iCs/>
        </w:rPr>
        <w:t>1 Sam</w:t>
      </w:r>
      <w:r w:rsidR="00165503">
        <w:rPr>
          <w:i/>
          <w:iCs/>
        </w:rPr>
        <w:t>.</w:t>
      </w:r>
      <w:r w:rsidRPr="003C7557">
        <w:rPr>
          <w:i/>
          <w:iCs/>
        </w:rPr>
        <w:t xml:space="preserve"> 1</w:t>
      </w:r>
    </w:p>
    <w:p w14:paraId="508FD36B" w14:textId="285497CD" w:rsidR="00210843" w:rsidRDefault="003459BC" w:rsidP="00D34B20">
      <w:r w:rsidRPr="00A5497D">
        <w:rPr>
          <w:u w:val="single"/>
        </w:rPr>
        <w:t>Ra</w:t>
      </w:r>
      <w:r w:rsidR="00BB7C12" w:rsidRPr="00A5497D">
        <w:rPr>
          <w:u w:val="single"/>
        </w:rPr>
        <w:t>ma</w:t>
      </w:r>
      <w:r w:rsidR="00D046D8" w:rsidRPr="00A5497D">
        <w:rPr>
          <w:u w:val="single"/>
        </w:rPr>
        <w:t>t</w:t>
      </w:r>
      <w:r w:rsidR="00BB7C12" w:rsidRPr="00A5497D">
        <w:rPr>
          <w:u w:val="single"/>
        </w:rPr>
        <w:t>h</w:t>
      </w:r>
      <w:r w:rsidR="00282307" w:rsidRPr="00A5497D">
        <w:rPr>
          <w:u w:val="single"/>
        </w:rPr>
        <w:t>aim</w:t>
      </w:r>
      <w:r w:rsidR="00282307">
        <w:t xml:space="preserve"> </w:t>
      </w:r>
    </w:p>
    <w:p w14:paraId="3B88ADEB" w14:textId="3EE1B71A" w:rsidR="006615D9" w:rsidRDefault="00F122BF" w:rsidP="00D34B20">
      <w:r>
        <w:t>Numerous</w:t>
      </w:r>
      <w:r w:rsidR="00A10CF9">
        <w:t xml:space="preserve"> </w:t>
      </w:r>
      <w:r w:rsidR="00AB45B7">
        <w:t>ancient Palestinian towns</w:t>
      </w:r>
      <w:r w:rsidR="004A41B9">
        <w:t xml:space="preserve"> were </w:t>
      </w:r>
      <w:r w:rsidR="00D037C1">
        <w:t>built</w:t>
      </w:r>
      <w:r w:rsidR="00CC33FC">
        <w:t xml:space="preserve"> on the tops of hills and mountains</w:t>
      </w:r>
      <w:r w:rsidR="00D037C1">
        <w:t xml:space="preserve"> because these locations provided natural</w:t>
      </w:r>
      <w:r w:rsidR="00910749">
        <w:t xml:space="preserve"> barriers a</w:t>
      </w:r>
      <w:r w:rsidR="007C500B">
        <w:t>gainst invading peoples</w:t>
      </w:r>
      <w:r w:rsidR="00CC33FC">
        <w:t xml:space="preserve">. These </w:t>
      </w:r>
      <w:r w:rsidR="00D91515">
        <w:t>“</w:t>
      </w:r>
      <w:r w:rsidR="00E16961">
        <w:t>high places</w:t>
      </w:r>
      <w:r w:rsidR="00D91515">
        <w:t>”</w:t>
      </w:r>
      <w:r w:rsidR="00E16961">
        <w:t xml:space="preserve"> (</w:t>
      </w:r>
      <w:r w:rsidR="00E16961" w:rsidRPr="004C6B10">
        <w:rPr>
          <w:i/>
          <w:iCs/>
        </w:rPr>
        <w:t>ramah</w:t>
      </w:r>
      <w:r w:rsidR="00E16961">
        <w:t>),</w:t>
      </w:r>
      <w:r w:rsidR="00F95B45">
        <w:t xml:space="preserve"> with the passing of time,</w:t>
      </w:r>
      <w:r w:rsidR="00AE56BE">
        <w:t xml:space="preserve"> </w:t>
      </w:r>
      <w:r w:rsidR="006263BD">
        <w:t xml:space="preserve">became </w:t>
      </w:r>
      <w:r w:rsidR="00D91515">
        <w:t xml:space="preserve">towns formally </w:t>
      </w:r>
      <w:r w:rsidR="00DC754D">
        <w:t>called Ramah</w:t>
      </w:r>
      <w:r w:rsidR="006263BD">
        <w:t xml:space="preserve">. </w:t>
      </w:r>
      <w:r w:rsidR="009A25CF">
        <w:t>The Old Testament mentions all of the following: Ramah of Asher</w:t>
      </w:r>
      <w:r w:rsidR="009E5AAD">
        <w:t xml:space="preserve"> (Josh. 19:29)</w:t>
      </w:r>
      <w:r w:rsidR="009A25CF">
        <w:t xml:space="preserve">, Ramah </w:t>
      </w:r>
      <w:r w:rsidR="009E5AAD">
        <w:t>of Benjamin (</w:t>
      </w:r>
      <w:r w:rsidR="009D4C37">
        <w:t>Josh. 18:25), Ramah of Gilead/ Ramoth-</w:t>
      </w:r>
      <w:r w:rsidR="006E5891">
        <w:t>gilead</w:t>
      </w:r>
      <w:r w:rsidR="009D4C37">
        <w:t xml:space="preserve"> (2 K</w:t>
      </w:r>
      <w:r w:rsidR="00E66742">
        <w:t>in</w:t>
      </w:r>
      <w:r w:rsidR="009D4C37">
        <w:t>gs. 8:29)</w:t>
      </w:r>
      <w:r w:rsidR="006E5891">
        <w:t xml:space="preserve">, Ramah of </w:t>
      </w:r>
      <w:r w:rsidR="00A210F3">
        <w:t>Naphtali (Josh. 19:26),</w:t>
      </w:r>
      <w:r w:rsidR="006E5891">
        <w:t xml:space="preserve"> </w:t>
      </w:r>
      <w:r w:rsidR="008C1BA8">
        <w:t>Samuel’s Rama</w:t>
      </w:r>
      <w:r w:rsidR="00F95B45">
        <w:t>h</w:t>
      </w:r>
      <w:r w:rsidR="00A210F3">
        <w:t>/</w:t>
      </w:r>
      <w:r w:rsidR="00F95B45">
        <w:t xml:space="preserve"> Ramathaim-zophim</w:t>
      </w:r>
      <w:r w:rsidR="00A210F3">
        <w:t xml:space="preserve"> (1 Sam. 1:1), </w:t>
      </w:r>
      <w:r w:rsidR="00E70A61">
        <w:t>and Ramah of the Negev (Josh. 19:8).</w:t>
      </w:r>
      <w:r w:rsidR="006615D9">
        <w:rPr>
          <w:rStyle w:val="FootnoteReference"/>
        </w:rPr>
        <w:footnoteReference w:id="15"/>
      </w:r>
    </w:p>
    <w:p w14:paraId="2055A94B" w14:textId="651717D3" w:rsidR="00CE4DB9" w:rsidRDefault="00260FBE" w:rsidP="00D34B20">
      <w:r>
        <w:t>Ramathaim-zophim</w:t>
      </w:r>
      <w:r w:rsidR="000D253E">
        <w:rPr>
          <w:rStyle w:val="FootnoteReference"/>
        </w:rPr>
        <w:footnoteReference w:id="16"/>
      </w:r>
      <w:r w:rsidR="00184459">
        <w:t xml:space="preserve"> </w:t>
      </w:r>
      <w:r w:rsidR="00E66742">
        <w:t>wa</w:t>
      </w:r>
      <w:r w:rsidR="00184459">
        <w:t>s the place of Samuel’s birth</w:t>
      </w:r>
      <w:r w:rsidR="00E77F79">
        <w:t xml:space="preserve"> (1:1)</w:t>
      </w:r>
      <w:r w:rsidR="00184459">
        <w:t>, residence</w:t>
      </w:r>
      <w:r w:rsidR="00E77F79">
        <w:t xml:space="preserve"> (</w:t>
      </w:r>
      <w:r w:rsidR="00C3610D">
        <w:t>7:17)</w:t>
      </w:r>
      <w:r w:rsidR="00184459">
        <w:t>, and burial</w:t>
      </w:r>
      <w:r w:rsidR="00364777">
        <w:t xml:space="preserve"> (25:1)</w:t>
      </w:r>
      <w:r w:rsidR="00184459">
        <w:t xml:space="preserve">. </w:t>
      </w:r>
      <w:r w:rsidR="00915C31">
        <w:t>Eusebius and Jerome associate</w:t>
      </w:r>
      <w:r w:rsidR="00E66742">
        <w:t>d</w:t>
      </w:r>
      <w:r w:rsidR="00915C31">
        <w:t xml:space="preserve"> </w:t>
      </w:r>
      <w:r w:rsidR="00442EC7">
        <w:t xml:space="preserve">the location with </w:t>
      </w:r>
      <w:r w:rsidR="00442EC7" w:rsidRPr="00242FB8">
        <w:t>Rentis</w:t>
      </w:r>
      <w:r w:rsidR="00442EC7">
        <w:t xml:space="preserve">, which </w:t>
      </w:r>
      <w:r w:rsidR="00E66742">
        <w:t>wa</w:t>
      </w:r>
      <w:r w:rsidR="00442EC7">
        <w:t>s about 16 miles east of Tel-Aviv.</w:t>
      </w:r>
      <w:r w:rsidR="006615D9">
        <w:rPr>
          <w:rStyle w:val="FootnoteReference"/>
        </w:rPr>
        <w:footnoteReference w:id="17"/>
      </w:r>
      <w:r w:rsidR="00141B01">
        <w:t xml:space="preserve"> </w:t>
      </w:r>
      <w:r w:rsidR="00490F67">
        <w:t xml:space="preserve">Others suggest its location </w:t>
      </w:r>
      <w:r w:rsidR="00AD0842">
        <w:t xml:space="preserve">at Beit Rima </w:t>
      </w:r>
      <w:r w:rsidR="00636491">
        <w:t>(thirteen</w:t>
      </w:r>
      <w:r w:rsidR="00AD0842">
        <w:t xml:space="preserve"> miles </w:t>
      </w:r>
      <w:r w:rsidR="00636491">
        <w:t>northeast</w:t>
      </w:r>
      <w:r w:rsidR="00AD0842">
        <w:t xml:space="preserve"> of Lydda</w:t>
      </w:r>
      <w:r w:rsidR="00636491">
        <w:t>)</w:t>
      </w:r>
      <w:r w:rsidR="00AD0842">
        <w:t xml:space="preserve">, Ram Allah (nine miles north of Jerusalem), </w:t>
      </w:r>
      <w:r w:rsidR="00636491">
        <w:t xml:space="preserve">Er-Ram (five miles north of Jerusalem), </w:t>
      </w:r>
      <w:r w:rsidR="00F60A67">
        <w:t xml:space="preserve">and </w:t>
      </w:r>
      <w:r w:rsidR="00382EAA">
        <w:t xml:space="preserve">the New Testament </w:t>
      </w:r>
      <w:r w:rsidR="005B5C19">
        <w:t>Ar</w:t>
      </w:r>
      <w:r w:rsidR="00382EAA">
        <w:t>imathea</w:t>
      </w:r>
      <w:r w:rsidR="00F122BF">
        <w:t xml:space="preserve">, </w:t>
      </w:r>
      <w:r w:rsidR="00636491">
        <w:t xml:space="preserve">amongst </w:t>
      </w:r>
      <w:r w:rsidR="00CE4DB9">
        <w:t>a number of other locations.</w:t>
      </w:r>
      <w:r w:rsidR="00CE4DB9">
        <w:rPr>
          <w:rStyle w:val="FootnoteReference"/>
        </w:rPr>
        <w:footnoteReference w:id="18"/>
      </w:r>
      <w:r w:rsidR="00D046D8">
        <w:t xml:space="preserve"> </w:t>
      </w:r>
      <w:r w:rsidR="00FC688D">
        <w:t>Clearly, n</w:t>
      </w:r>
      <w:r w:rsidR="008660CC">
        <w:t xml:space="preserve">o </w:t>
      </w:r>
      <w:r w:rsidR="00D8729D">
        <w:t>consensus</w:t>
      </w:r>
      <w:r w:rsidR="008660CC">
        <w:t xml:space="preserve"> has been reached about </w:t>
      </w:r>
      <w:r w:rsidR="00FC688D">
        <w:t>Ramatha</w:t>
      </w:r>
      <w:r w:rsidR="003C4A4B">
        <w:t>im</w:t>
      </w:r>
      <w:r w:rsidR="008660CC">
        <w:t xml:space="preserve">’s </w:t>
      </w:r>
      <w:r w:rsidR="00F60A67">
        <w:t xml:space="preserve">precise </w:t>
      </w:r>
      <w:r w:rsidR="008660CC">
        <w:t>location</w:t>
      </w:r>
      <w:r w:rsidR="00FC688D">
        <w:t xml:space="preserve">. </w:t>
      </w:r>
      <w:r w:rsidR="00FA68CC">
        <w:t>The full name only occurs here in 1 Sam</w:t>
      </w:r>
      <w:r w:rsidR="00DC2792">
        <w:t>uel</w:t>
      </w:r>
      <w:r w:rsidR="00FA68CC">
        <w:t xml:space="preserve"> 1:</w:t>
      </w:r>
      <w:r w:rsidR="00242FB8">
        <w:t>1</w:t>
      </w:r>
      <w:r w:rsidR="004937B8">
        <w:t>, and elsewhere in the Old Testament,</w:t>
      </w:r>
      <w:r w:rsidR="00FA68CC">
        <w:t xml:space="preserve"> is referred to by the shortened Ramah. </w:t>
      </w:r>
    </w:p>
    <w:p w14:paraId="0A8D94D4" w14:textId="77777777" w:rsidR="00210843" w:rsidRDefault="00F00508" w:rsidP="00D34B20">
      <w:r w:rsidRPr="00F67400">
        <w:rPr>
          <w:u w:val="single"/>
        </w:rPr>
        <w:t xml:space="preserve">Elkanah’s </w:t>
      </w:r>
      <w:r w:rsidR="00CC2F2E" w:rsidRPr="00F67400">
        <w:rPr>
          <w:u w:val="single"/>
        </w:rPr>
        <w:t>Ancestry</w:t>
      </w:r>
      <w:r>
        <w:t xml:space="preserve"> </w:t>
      </w:r>
    </w:p>
    <w:p w14:paraId="4610598D" w14:textId="27C1EC30" w:rsidR="00F00508" w:rsidRDefault="00F33643" w:rsidP="00D34B20">
      <w:r>
        <w:t xml:space="preserve">His ancestry is </w:t>
      </w:r>
      <w:r w:rsidR="00D56201">
        <w:t>listed</w:t>
      </w:r>
      <w:r>
        <w:t xml:space="preserve"> here </w:t>
      </w:r>
      <w:r w:rsidR="00D56201">
        <w:t>in v</w:t>
      </w:r>
      <w:r w:rsidR="00B62164">
        <w:t xml:space="preserve">. 1 </w:t>
      </w:r>
      <w:r>
        <w:t xml:space="preserve">and in </w:t>
      </w:r>
      <w:r w:rsidR="00D56201">
        <w:t xml:space="preserve">1 </w:t>
      </w:r>
      <w:r w:rsidR="00DC2792">
        <w:t>Chronicles</w:t>
      </w:r>
      <w:r w:rsidR="00D56201">
        <w:t xml:space="preserve"> 6:25-26. </w:t>
      </w:r>
      <w:r w:rsidR="00A21B5E">
        <w:t xml:space="preserve">A difficulty </w:t>
      </w:r>
      <w:r w:rsidR="00DA14BB">
        <w:t>develops</w:t>
      </w:r>
      <w:r w:rsidR="00A21B5E">
        <w:t xml:space="preserve"> when trying to harmonize </w:t>
      </w:r>
      <w:r w:rsidR="00DA14BB">
        <w:t>the fact that he is listed as an Ephraimite here but from the tribe of Levi in 1 Chr</w:t>
      </w:r>
      <w:r w:rsidR="00DC2792">
        <w:t>onicles</w:t>
      </w:r>
      <w:r w:rsidR="00DA14BB">
        <w:t xml:space="preserve"> 6:25-26. </w:t>
      </w:r>
      <w:r w:rsidR="008E57A7">
        <w:t xml:space="preserve">A plausible theory </w:t>
      </w:r>
      <w:r w:rsidR="009F427A">
        <w:t>posits that he was geographically an Ephraimite but genealogically a Levite.</w:t>
      </w:r>
      <w:r w:rsidR="00CC33B8">
        <w:rPr>
          <w:rStyle w:val="FootnoteReference"/>
        </w:rPr>
        <w:footnoteReference w:id="19"/>
      </w:r>
    </w:p>
    <w:p w14:paraId="52E7D065" w14:textId="77777777" w:rsidR="00210843" w:rsidRDefault="00CC2F2E" w:rsidP="00D34B20">
      <w:pPr>
        <w:rPr>
          <w:u w:val="single"/>
        </w:rPr>
      </w:pPr>
      <w:r w:rsidRPr="005C7A20">
        <w:rPr>
          <w:u w:val="single"/>
        </w:rPr>
        <w:t xml:space="preserve">Polygamy </w:t>
      </w:r>
      <w:r w:rsidR="00D15F6E" w:rsidRPr="005C7A20">
        <w:rPr>
          <w:u w:val="single"/>
        </w:rPr>
        <w:t xml:space="preserve">in the ANE </w:t>
      </w:r>
    </w:p>
    <w:p w14:paraId="4D834330" w14:textId="1FEB97BD" w:rsidR="00F22DEA" w:rsidRDefault="004A792A" w:rsidP="00D34B20">
      <w:pPr>
        <w:rPr>
          <w:u w:val="single"/>
        </w:rPr>
      </w:pPr>
      <w:r>
        <w:t>The ancient Code of Hammurabi</w:t>
      </w:r>
      <w:r w:rsidR="00395FDA">
        <w:t xml:space="preserve"> include</w:t>
      </w:r>
      <w:r w:rsidR="00052AD0">
        <w:t>d</w:t>
      </w:r>
      <w:r w:rsidR="00395FDA">
        <w:t xml:space="preserve"> four laws (nos. 145-148)</w:t>
      </w:r>
      <w:r w:rsidR="00F47D6D">
        <w:t>,</w:t>
      </w:r>
      <w:r w:rsidR="00395FDA">
        <w:t xml:space="preserve"> which </w:t>
      </w:r>
      <w:r w:rsidR="00F47D6D">
        <w:t>dealt</w:t>
      </w:r>
      <w:r w:rsidR="00395FDA">
        <w:t xml:space="preserve"> with the taking of a second wife </w:t>
      </w:r>
      <w:r w:rsidR="00A6674D">
        <w:t>if</w:t>
      </w:r>
      <w:r w:rsidR="00156A5A">
        <w:t xml:space="preserve"> the first </w:t>
      </w:r>
      <w:r w:rsidR="00A6674D">
        <w:t xml:space="preserve">wife </w:t>
      </w:r>
      <w:r w:rsidR="00156A5A">
        <w:t xml:space="preserve">was unable to produce an heir. </w:t>
      </w:r>
      <w:r w:rsidR="008A0879">
        <w:t>Andrews and Bergen state, “</w:t>
      </w:r>
      <w:r w:rsidR="00A104E6">
        <w:t xml:space="preserve">The inability of a wife to produce an heir was </w:t>
      </w:r>
      <w:r w:rsidR="005C7A20">
        <w:t>a serious</w:t>
      </w:r>
      <w:r w:rsidR="00A104E6">
        <w:t xml:space="preserve"> issue in the ancient Near Eastern societies. An heir not only maintained</w:t>
      </w:r>
      <w:r w:rsidR="002110C9">
        <w:t xml:space="preserve"> the family line but also </w:t>
      </w:r>
      <w:r w:rsidR="005C7A20">
        <w:t>provided</w:t>
      </w:r>
      <w:r w:rsidR="002110C9">
        <w:t xml:space="preserve"> for the preservation </w:t>
      </w:r>
      <w:r w:rsidR="005C7A20">
        <w:t>of</w:t>
      </w:r>
      <w:r w:rsidR="002110C9">
        <w:t xml:space="preserve"> th</w:t>
      </w:r>
      <w:r w:rsidR="005C7A20">
        <w:t>e</w:t>
      </w:r>
      <w:r w:rsidR="002110C9">
        <w:t xml:space="preserve"> </w:t>
      </w:r>
      <w:r w:rsidR="005C7A20">
        <w:t>father’s</w:t>
      </w:r>
      <w:r w:rsidR="002110C9">
        <w:t xml:space="preserve"> </w:t>
      </w:r>
      <w:r w:rsidR="002110C9">
        <w:lastRenderedPageBreak/>
        <w:t xml:space="preserve">estate…. In addition, the heir would provide </w:t>
      </w:r>
      <w:r w:rsidR="005C7A20">
        <w:t xml:space="preserve">for his mother after the death of the father </w:t>
      </w:r>
      <w:r w:rsidR="00A73AC9">
        <w:t xml:space="preserve">as a kind </w:t>
      </w:r>
      <w:r w:rsidR="005C7A20">
        <w:t>of Social Security of that culture.”</w:t>
      </w:r>
      <w:r w:rsidR="005C7A20">
        <w:rPr>
          <w:rStyle w:val="FootnoteReference"/>
        </w:rPr>
        <w:footnoteReference w:id="20"/>
      </w:r>
      <w:r w:rsidR="005C7A20">
        <w:t xml:space="preserve"> </w:t>
      </w:r>
    </w:p>
    <w:p w14:paraId="73BF7757" w14:textId="77777777" w:rsidR="00210843" w:rsidRDefault="00CC2F2E" w:rsidP="00D34B20">
      <w:pPr>
        <w:rPr>
          <w:u w:val="single"/>
        </w:rPr>
      </w:pPr>
      <w:r w:rsidRPr="006524E3">
        <w:rPr>
          <w:u w:val="single"/>
        </w:rPr>
        <w:t xml:space="preserve">Shiloh </w:t>
      </w:r>
    </w:p>
    <w:p w14:paraId="731C193E" w14:textId="08C1AE5A" w:rsidR="009E05F2" w:rsidRPr="00F22DEA" w:rsidRDefault="009E05F2" w:rsidP="00D34B20">
      <w:pPr>
        <w:rPr>
          <w:u w:val="single"/>
        </w:rPr>
      </w:pPr>
      <w:r>
        <w:t xml:space="preserve">Joshua first settled in Gilgal and then at Shiloh. </w:t>
      </w:r>
      <w:r w:rsidR="004343C6">
        <w:t xml:space="preserve">(Josh. 14:6; 18:1) </w:t>
      </w:r>
      <w:r w:rsidR="008F452C">
        <w:t>He set up the tabernacle</w:t>
      </w:r>
      <w:r w:rsidR="005D5FBB">
        <w:t>, Tent of Meeting,</w:t>
      </w:r>
      <w:r w:rsidR="008F452C">
        <w:t xml:space="preserve"> here</w:t>
      </w:r>
      <w:r w:rsidR="005D5FBB">
        <w:t xml:space="preserve"> (Josh. 18:1),</w:t>
      </w:r>
      <w:r w:rsidR="008F452C">
        <w:t xml:space="preserve"> and </w:t>
      </w:r>
      <w:r w:rsidR="000D2353">
        <w:t>it became the center of worship during the time of the Judges.</w:t>
      </w:r>
      <w:r w:rsidR="00D00ABF">
        <w:rPr>
          <w:rStyle w:val="FootnoteReference"/>
        </w:rPr>
        <w:footnoteReference w:id="21"/>
      </w:r>
      <w:r w:rsidR="006835B0">
        <w:t xml:space="preserve"> </w:t>
      </w:r>
      <w:r w:rsidR="009F56AB">
        <w:t xml:space="preserve">In 1838, E. Robinson </w:t>
      </w:r>
      <w:r w:rsidR="00A634D5">
        <w:t xml:space="preserve">identified </w:t>
      </w:r>
      <w:r w:rsidR="00CE0FF1">
        <w:t>modern-day</w:t>
      </w:r>
      <w:r w:rsidR="00A634D5">
        <w:t xml:space="preserve"> Seilun as Shiloh’s location.</w:t>
      </w:r>
      <w:r w:rsidR="00A634D5">
        <w:rPr>
          <w:rStyle w:val="FootnoteReference"/>
        </w:rPr>
        <w:footnoteReference w:id="22"/>
      </w:r>
    </w:p>
    <w:p w14:paraId="26F82B25" w14:textId="23CD722E" w:rsidR="00D15F6E" w:rsidRPr="00EF0FCC" w:rsidRDefault="00EF0FCC" w:rsidP="00D34B20">
      <w:r>
        <w:t xml:space="preserve">While verse 9 refers to </w:t>
      </w:r>
      <w:r w:rsidR="000723D9">
        <w:t xml:space="preserve">“the temple of the Lord,” note that this </w:t>
      </w:r>
      <w:r w:rsidR="00F22DEA">
        <w:t xml:space="preserve">is not in reference to the Temple proper, which was built later during Solomon’s reign. </w:t>
      </w:r>
    </w:p>
    <w:p w14:paraId="15A1B8FE" w14:textId="782E4515" w:rsidR="00247508" w:rsidRPr="003C7557" w:rsidRDefault="00247508" w:rsidP="00D34B20">
      <w:pPr>
        <w:rPr>
          <w:i/>
          <w:iCs/>
        </w:rPr>
      </w:pPr>
      <w:r w:rsidRPr="003C7557">
        <w:rPr>
          <w:i/>
          <w:iCs/>
        </w:rPr>
        <w:t>1 Sam</w:t>
      </w:r>
      <w:r w:rsidR="00766D91">
        <w:rPr>
          <w:i/>
          <w:iCs/>
        </w:rPr>
        <w:t>.</w:t>
      </w:r>
      <w:r w:rsidRPr="003C7557">
        <w:rPr>
          <w:i/>
          <w:iCs/>
        </w:rPr>
        <w:t xml:space="preserve"> 2</w:t>
      </w:r>
    </w:p>
    <w:p w14:paraId="6E62B623" w14:textId="6AE8BC39" w:rsidR="00247508" w:rsidRPr="00EE394E" w:rsidRDefault="00247508" w:rsidP="00D34B20">
      <w:pPr>
        <w:rPr>
          <w:u w:val="single"/>
        </w:rPr>
      </w:pPr>
      <w:r w:rsidRPr="00EE394E">
        <w:rPr>
          <w:u w:val="single"/>
        </w:rPr>
        <w:t>Eli</w:t>
      </w:r>
      <w:r w:rsidR="001A0002" w:rsidRPr="00EE394E">
        <w:rPr>
          <w:u w:val="single"/>
        </w:rPr>
        <w:t xml:space="preserve"> </w:t>
      </w:r>
    </w:p>
    <w:p w14:paraId="60581AC3" w14:textId="51139B01" w:rsidR="00A05024" w:rsidRDefault="00A05024" w:rsidP="00D34B20">
      <w:r>
        <w:t xml:space="preserve">He was a high priest descended from </w:t>
      </w:r>
      <w:r w:rsidR="00FF5C3C">
        <w:t xml:space="preserve">Aaron through </w:t>
      </w:r>
      <w:r w:rsidR="00CB4DDC">
        <w:t xml:space="preserve">Ithamar. </w:t>
      </w:r>
      <w:r w:rsidR="00FF5C3C">
        <w:t xml:space="preserve">He also served </w:t>
      </w:r>
      <w:r w:rsidR="001B47DE">
        <w:t xml:space="preserve">for forty years </w:t>
      </w:r>
      <w:r w:rsidR="00FF5C3C">
        <w:t xml:space="preserve">as Israel’s judge before Samuel. </w:t>
      </w:r>
      <w:r w:rsidR="001B47DE">
        <w:t>(1 Sam. 4:</w:t>
      </w:r>
      <w:r w:rsidR="00E47C7B">
        <w:t xml:space="preserve">18) </w:t>
      </w:r>
      <w:r w:rsidR="008A6EAC">
        <w:t xml:space="preserve">A prophet declared that </w:t>
      </w:r>
      <w:r w:rsidR="00136249">
        <w:t>Eli’s house would be destroyed and that both of his sons would die on the same day. (1 Sam. 2:</w:t>
      </w:r>
      <w:r w:rsidR="00C2462A">
        <w:t xml:space="preserve">27-36) Later, Samuel confirmed this </w:t>
      </w:r>
      <w:r w:rsidR="00E76E12">
        <w:t>prophecy</w:t>
      </w:r>
      <w:r w:rsidR="00C2462A">
        <w:t>. (1 Sam. 3:</w:t>
      </w:r>
      <w:r w:rsidR="008524D1">
        <w:t>11-18)</w:t>
      </w:r>
      <w:r w:rsidR="00C97F0D">
        <w:t xml:space="preserve"> </w:t>
      </w:r>
      <w:r w:rsidR="00B62CF8">
        <w:t>Around 1050 B</w:t>
      </w:r>
      <w:r w:rsidR="00182707">
        <w:t>.</w:t>
      </w:r>
      <w:r w:rsidR="00B62CF8">
        <w:t>C</w:t>
      </w:r>
      <w:r w:rsidR="00182707">
        <w:t>.</w:t>
      </w:r>
      <w:r w:rsidR="00B62CF8">
        <w:t xml:space="preserve">, Eli died when he received the news that the Philistines </w:t>
      </w:r>
      <w:r w:rsidR="00766D91">
        <w:t xml:space="preserve">had </w:t>
      </w:r>
      <w:r w:rsidR="00B62CF8">
        <w:t xml:space="preserve">defeated Israel, the </w:t>
      </w:r>
      <w:r w:rsidR="008C6E82">
        <w:t xml:space="preserve">Ark of God was taken, and both of his sons </w:t>
      </w:r>
      <w:r w:rsidR="00766D91">
        <w:t>were dea</w:t>
      </w:r>
      <w:r w:rsidR="008C6E82">
        <w:t>d.</w:t>
      </w:r>
      <w:r w:rsidR="00CF16B3">
        <w:t xml:space="preserve"> (1 Sam. 4:18) The </w:t>
      </w:r>
      <w:r w:rsidR="00E76E12">
        <w:t>prophecies</w:t>
      </w:r>
      <w:r w:rsidR="00CF16B3">
        <w:t xml:space="preserve"> against Eli’s house were finally fulfilled when Solomon </w:t>
      </w:r>
      <w:r w:rsidR="00B02353">
        <w:t xml:space="preserve">removed </w:t>
      </w:r>
      <w:r w:rsidR="0030609D">
        <w:t>Abiathar</w:t>
      </w:r>
      <w:r w:rsidR="00B02353">
        <w:t xml:space="preserve"> from his office and </w:t>
      </w:r>
      <w:r w:rsidR="0030609D">
        <w:t xml:space="preserve">restored the line of </w:t>
      </w:r>
      <w:r w:rsidR="00E76E12">
        <w:t>Eleazar. (1 K</w:t>
      </w:r>
      <w:r w:rsidR="00766D91">
        <w:t>in</w:t>
      </w:r>
      <w:r w:rsidR="00E76E12">
        <w:t xml:space="preserve">gs 2:27) </w:t>
      </w:r>
      <w:r w:rsidR="00E76E12">
        <w:rPr>
          <w:rStyle w:val="FootnoteReference"/>
        </w:rPr>
        <w:footnoteReference w:id="23"/>
      </w:r>
    </w:p>
    <w:p w14:paraId="5DD6E2DD" w14:textId="77777777" w:rsidR="00427D82" w:rsidRPr="00EE394E" w:rsidRDefault="007161A4" w:rsidP="00D34B20">
      <w:pPr>
        <w:rPr>
          <w:u w:val="single"/>
        </w:rPr>
      </w:pPr>
      <w:r w:rsidRPr="00EE394E">
        <w:rPr>
          <w:u w:val="single"/>
        </w:rPr>
        <w:t xml:space="preserve">Eli’s Sons </w:t>
      </w:r>
    </w:p>
    <w:p w14:paraId="4B355083" w14:textId="357368F8" w:rsidR="00247508" w:rsidRDefault="00D15F6E" w:rsidP="00D34B20">
      <w:r>
        <w:t>Hophni</w:t>
      </w:r>
      <w:r w:rsidR="007161A4">
        <w:t xml:space="preserve"> </w:t>
      </w:r>
      <w:r w:rsidR="00427D82">
        <w:t xml:space="preserve">and </w:t>
      </w:r>
      <w:r w:rsidR="00247508">
        <w:t>Phine</w:t>
      </w:r>
      <w:r w:rsidR="00AE5F50">
        <w:t>h</w:t>
      </w:r>
      <w:r w:rsidR="00247508">
        <w:t xml:space="preserve">as </w:t>
      </w:r>
      <w:r w:rsidR="00427D82">
        <w:t xml:space="preserve">were Eli’s two sons. They </w:t>
      </w:r>
      <w:r w:rsidR="00533303">
        <w:t>“were worthless men” wh</w:t>
      </w:r>
      <w:r w:rsidR="00091547">
        <w:t>o “did not know the Lord.” (1 Sam. 2:12)</w:t>
      </w:r>
      <w:r w:rsidR="002F58CD">
        <w:t xml:space="preserve"> As priests</w:t>
      </w:r>
      <w:r w:rsidR="005D7A6E">
        <w:t xml:space="preserve">, they </w:t>
      </w:r>
      <w:r w:rsidR="006D24C6">
        <w:t>should have taken the breast and the right thigh of the sacrificial animal</w:t>
      </w:r>
      <w:r w:rsidR="003F7260">
        <w:t>s (Lev. 7:26-38)</w:t>
      </w:r>
      <w:r w:rsidR="00B33555">
        <w:t xml:space="preserve"> or, as listed in Deut</w:t>
      </w:r>
      <w:r w:rsidR="00CC2E95">
        <w:t>eronomy</w:t>
      </w:r>
      <w:r w:rsidR="00B33555">
        <w:t xml:space="preserve"> 18:3, the stomach, cheeks, and shoulder </w:t>
      </w:r>
      <w:r w:rsidR="00172D79">
        <w:t xml:space="preserve">of an ox or sheep. Instead, they </w:t>
      </w:r>
      <w:r w:rsidR="003038C0">
        <w:t xml:space="preserve">took the choicest meat, including the fat (which was supposed to be burned before the Lord according to </w:t>
      </w:r>
      <w:r w:rsidR="002F58CD">
        <w:t xml:space="preserve">Lev. 7:23-25, 31; 17:6), </w:t>
      </w:r>
      <w:r w:rsidR="00D349AA">
        <w:t xml:space="preserve">and </w:t>
      </w:r>
      <w:r w:rsidR="00023109">
        <w:t xml:space="preserve">demanded the meat be roasted instead of boiled as prescribed. </w:t>
      </w:r>
      <w:r w:rsidR="00D10D7C">
        <w:t>As prophesied, they both died on the same day.</w:t>
      </w:r>
      <w:r w:rsidR="00662976">
        <w:t xml:space="preserve"> </w:t>
      </w:r>
      <w:r w:rsidR="00E5514C">
        <w:t>(1 Sa</w:t>
      </w:r>
      <w:r w:rsidR="00CC2E95">
        <w:t>m</w:t>
      </w:r>
      <w:r w:rsidR="00E5514C">
        <w:t>. 4:</w:t>
      </w:r>
      <w:r w:rsidR="00662976">
        <w:t>17)</w:t>
      </w:r>
    </w:p>
    <w:p w14:paraId="42572DE1" w14:textId="40D017BF" w:rsidR="007161A4" w:rsidRPr="001263B2" w:rsidRDefault="00635100" w:rsidP="00D34B20">
      <w:pPr>
        <w:rPr>
          <w:u w:val="single"/>
        </w:rPr>
      </w:pPr>
      <w:r w:rsidRPr="001263B2">
        <w:rPr>
          <w:u w:val="single"/>
        </w:rPr>
        <w:t>Three-pronged fork</w:t>
      </w:r>
    </w:p>
    <w:p w14:paraId="4B93E81C" w14:textId="64CE62B8" w:rsidR="00635100" w:rsidRDefault="00C450A3" w:rsidP="00273BBB">
      <w:r>
        <w:t>First</w:t>
      </w:r>
      <w:r w:rsidR="00CA247B">
        <w:t xml:space="preserve"> Sam</w:t>
      </w:r>
      <w:r>
        <w:t>uel</w:t>
      </w:r>
      <w:r w:rsidR="00CA247B">
        <w:t xml:space="preserve"> 2:13</w:t>
      </w:r>
      <w:r w:rsidR="00131947">
        <w:t xml:space="preserve"> </w:t>
      </w:r>
      <w:r w:rsidR="00273BBB">
        <w:t>outline</w:t>
      </w:r>
      <w:r w:rsidR="000024A7">
        <w:t>d</w:t>
      </w:r>
      <w:r w:rsidR="00273BBB">
        <w:t xml:space="preserve"> an irregular system </w:t>
      </w:r>
      <w:r w:rsidR="00D22F2D">
        <w:t xml:space="preserve">by which the priest used a three-pronged fork </w:t>
      </w:r>
      <w:r w:rsidR="00312D2E">
        <w:t xml:space="preserve">thrust into a boiling pot. Whatever stuck to the fork, the priest was able to keep. </w:t>
      </w:r>
      <w:r w:rsidR="000D428D">
        <w:t xml:space="preserve">According to </w:t>
      </w:r>
      <w:r w:rsidR="001263B2">
        <w:lastRenderedPageBreak/>
        <w:t>Klein, “</w:t>
      </w:r>
      <w:r w:rsidR="00991952">
        <w:t>A</w:t>
      </w:r>
      <w:r w:rsidR="001263B2">
        <w:t xml:space="preserve"> number of large forks have been discovered by archaeologists which were intended for some cooking function.”</w:t>
      </w:r>
      <w:r w:rsidR="001263B2">
        <w:rPr>
          <w:rStyle w:val="FootnoteReference"/>
        </w:rPr>
        <w:footnoteReference w:id="24"/>
      </w:r>
    </w:p>
    <w:p w14:paraId="18824CD5" w14:textId="22141759" w:rsidR="00635100" w:rsidRPr="003C7557" w:rsidRDefault="002713EF" w:rsidP="00D34B20">
      <w:pPr>
        <w:rPr>
          <w:i/>
          <w:iCs/>
        </w:rPr>
      </w:pPr>
      <w:r w:rsidRPr="003C7557">
        <w:rPr>
          <w:i/>
          <w:iCs/>
        </w:rPr>
        <w:t>1 Sa</w:t>
      </w:r>
      <w:r w:rsidR="00CD3BB1">
        <w:rPr>
          <w:i/>
          <w:iCs/>
        </w:rPr>
        <w:t>m</w:t>
      </w:r>
      <w:r w:rsidR="007A03FD">
        <w:rPr>
          <w:i/>
          <w:iCs/>
        </w:rPr>
        <w:t>.</w:t>
      </w:r>
      <w:r w:rsidRPr="003C7557">
        <w:rPr>
          <w:i/>
          <w:iCs/>
        </w:rPr>
        <w:t xml:space="preserve"> 3</w:t>
      </w:r>
    </w:p>
    <w:p w14:paraId="46DBD6ED" w14:textId="22BD5788" w:rsidR="003F4631" w:rsidRPr="00835601" w:rsidRDefault="003F4631" w:rsidP="00D34B20">
      <w:pPr>
        <w:rPr>
          <w:u w:val="single"/>
        </w:rPr>
      </w:pPr>
      <w:r w:rsidRPr="00835601">
        <w:rPr>
          <w:u w:val="single"/>
        </w:rPr>
        <w:t>Samuel’s Call</w:t>
      </w:r>
    </w:p>
    <w:p w14:paraId="5C95AEA7" w14:textId="4BA9BDE2" w:rsidR="003F4631" w:rsidRDefault="00DC7CE4" w:rsidP="00D34B20">
      <w:r>
        <w:t>God call</w:t>
      </w:r>
      <w:r w:rsidR="007A03FD">
        <w:t>ed</w:t>
      </w:r>
      <w:r>
        <w:t xml:space="preserve"> Samuel to be a prophet (</w:t>
      </w:r>
      <w:r w:rsidRPr="00DC7CE4">
        <w:rPr>
          <w:i/>
          <w:iCs/>
        </w:rPr>
        <w:t>nabi</w:t>
      </w:r>
      <w:r>
        <w:t xml:space="preserve">). </w:t>
      </w:r>
      <w:r w:rsidR="003435D1">
        <w:t xml:space="preserve">Samuel’s prophetical role bridged the gap between the </w:t>
      </w:r>
      <w:r w:rsidR="00835601">
        <w:t>p</w:t>
      </w:r>
      <w:r w:rsidR="003435D1">
        <w:t xml:space="preserve">re-monarchy period </w:t>
      </w:r>
      <w:r w:rsidR="0003759E">
        <w:t>and</w:t>
      </w:r>
      <w:r w:rsidR="000549DA">
        <w:t xml:space="preserve"> the </w:t>
      </w:r>
      <w:r w:rsidR="00835601">
        <w:t>pre-classical</w:t>
      </w:r>
      <w:r w:rsidR="000549DA">
        <w:t xml:space="preserve"> period of Israelite prophesy. </w:t>
      </w:r>
      <w:r w:rsidR="00EA3454">
        <w:t xml:space="preserve">Other prophets before and after Samuel also received </w:t>
      </w:r>
      <w:r w:rsidR="00835601">
        <w:t xml:space="preserve">distinct calls to become prophets of God. </w:t>
      </w:r>
      <w:r w:rsidR="000F5F56">
        <w:t>(</w:t>
      </w:r>
      <w:r w:rsidR="00835601">
        <w:t>i.e.</w:t>
      </w:r>
      <w:r w:rsidR="00245DA2">
        <w:t>,</w:t>
      </w:r>
      <w:r w:rsidR="00835601">
        <w:t xml:space="preserve"> Moses, Isaiah, </w:t>
      </w:r>
      <w:r w:rsidR="000F5F56">
        <w:t xml:space="preserve">and </w:t>
      </w:r>
      <w:r w:rsidR="00835601">
        <w:t>Jeremiah)</w:t>
      </w:r>
    </w:p>
    <w:p w14:paraId="1F557E70" w14:textId="0567DDF1" w:rsidR="00B25E42" w:rsidRDefault="00B25E42" w:rsidP="00D34B20">
      <w:pPr>
        <w:rPr>
          <w:u w:val="single"/>
        </w:rPr>
      </w:pPr>
      <w:r>
        <w:rPr>
          <w:u w:val="single"/>
        </w:rPr>
        <w:t>Samuel’s Confirmation</w:t>
      </w:r>
    </w:p>
    <w:p w14:paraId="29C26BE0" w14:textId="5B54C440" w:rsidR="00B25E42" w:rsidRPr="00B25E42" w:rsidRDefault="00C62583" w:rsidP="00D34B20">
      <w:r>
        <w:t xml:space="preserve">Like Moses (Num. 12:7), </w:t>
      </w:r>
      <w:r w:rsidR="00C90CB4">
        <w:t xml:space="preserve">Samuel was “established” (v. </w:t>
      </w:r>
      <w:r w:rsidR="005226C7">
        <w:t>20). Samuel’s words passed the test for authenticity (Deut. 18:22)</w:t>
      </w:r>
      <w:r w:rsidR="00F62D53">
        <w:t>, and he was confirmed as Israel’s prophet.</w:t>
      </w:r>
      <w:r w:rsidR="00F62D53">
        <w:rPr>
          <w:rStyle w:val="FootnoteReference"/>
        </w:rPr>
        <w:footnoteReference w:id="25"/>
      </w:r>
    </w:p>
    <w:p w14:paraId="5258DB1E" w14:textId="4A9A5FAE" w:rsidR="00835601" w:rsidRPr="00006085" w:rsidRDefault="00006085" w:rsidP="00D34B20">
      <w:pPr>
        <w:rPr>
          <w:u w:val="single"/>
        </w:rPr>
      </w:pPr>
      <w:r w:rsidRPr="00006085">
        <w:rPr>
          <w:u w:val="single"/>
        </w:rPr>
        <w:t>Dan to Beersheba</w:t>
      </w:r>
    </w:p>
    <w:p w14:paraId="6C114D55" w14:textId="165F2D16" w:rsidR="00006085" w:rsidRDefault="00C00532" w:rsidP="00D34B20">
      <w:r>
        <w:t xml:space="preserve">The phrase “from Dan to Beersheba” </w:t>
      </w:r>
      <w:r w:rsidR="008C04EC">
        <w:t>can</w:t>
      </w:r>
      <w:r>
        <w:t xml:space="preserve"> often </w:t>
      </w:r>
      <w:r w:rsidR="008C04EC">
        <w:t xml:space="preserve">be </w:t>
      </w:r>
      <w:r>
        <w:t xml:space="preserve">found in Samuel, Kings, and Chronicles. </w:t>
      </w:r>
      <w:r w:rsidR="001F6F12">
        <w:t>Dan was in the far north</w:t>
      </w:r>
      <w:r w:rsidR="00CE2DAB">
        <w:t>,</w:t>
      </w:r>
      <w:r w:rsidR="001F6F12">
        <w:t xml:space="preserve"> and Beersheba in the south. </w:t>
      </w:r>
      <w:r w:rsidR="002179F8">
        <w:t xml:space="preserve">“From Dan to Beersheba” </w:t>
      </w:r>
      <w:r w:rsidR="00D35F76">
        <w:t>referred to the whole land of Israel.</w:t>
      </w:r>
      <w:r w:rsidR="00D35F76">
        <w:rPr>
          <w:rStyle w:val="FootnoteReference"/>
        </w:rPr>
        <w:footnoteReference w:id="26"/>
      </w:r>
    </w:p>
    <w:p w14:paraId="1F8A967E" w14:textId="5C5161AF" w:rsidR="00247508" w:rsidRPr="00CD3BB1" w:rsidRDefault="00F6739B" w:rsidP="00D34B20">
      <w:pPr>
        <w:rPr>
          <w:i/>
          <w:iCs/>
        </w:rPr>
      </w:pPr>
      <w:r w:rsidRPr="00CD3BB1">
        <w:rPr>
          <w:i/>
          <w:iCs/>
        </w:rPr>
        <w:t>1 Sam</w:t>
      </w:r>
      <w:r w:rsidR="008C04EC">
        <w:rPr>
          <w:i/>
          <w:iCs/>
        </w:rPr>
        <w:t>.</w:t>
      </w:r>
      <w:r w:rsidRPr="00CD3BB1">
        <w:rPr>
          <w:i/>
          <w:iCs/>
        </w:rPr>
        <w:t xml:space="preserve"> 4</w:t>
      </w:r>
    </w:p>
    <w:p w14:paraId="5B4F2842" w14:textId="185C1732" w:rsidR="00F6739B" w:rsidRDefault="00F6739B" w:rsidP="00D34B20">
      <w:pPr>
        <w:rPr>
          <w:u w:val="single"/>
        </w:rPr>
      </w:pPr>
      <w:r w:rsidRPr="00EA075D">
        <w:rPr>
          <w:u w:val="single"/>
        </w:rPr>
        <w:t xml:space="preserve">Philistines </w:t>
      </w:r>
    </w:p>
    <w:p w14:paraId="3A254F3B" w14:textId="3EF7EE5D" w:rsidR="00EA075D" w:rsidRPr="00EA075D" w:rsidRDefault="00531E4E" w:rsidP="00D34B20">
      <w:r>
        <w:t xml:space="preserve">The Philistines </w:t>
      </w:r>
      <w:r w:rsidR="00085A79">
        <w:t xml:space="preserve">were a group of Sea Peoples </w:t>
      </w:r>
      <w:r w:rsidR="00FC2BCB">
        <w:t xml:space="preserve">who ravaged much of the eastern Mediterranean world and were </w:t>
      </w:r>
      <w:r w:rsidR="00085A79">
        <w:t xml:space="preserve">of Aegean origin. </w:t>
      </w:r>
      <w:r w:rsidR="00F21CC6">
        <w:t xml:space="preserve">They eventually settled </w:t>
      </w:r>
      <w:r w:rsidR="00B543C8">
        <w:t>in</w:t>
      </w:r>
      <w:r w:rsidR="00F21CC6">
        <w:t xml:space="preserve"> the southwestern </w:t>
      </w:r>
      <w:r w:rsidR="009E516C">
        <w:t>coastal area of Canaan,</w:t>
      </w:r>
      <w:r w:rsidR="008C1DCE">
        <w:t xml:space="preserve"> where they established five city-states</w:t>
      </w:r>
      <w:r w:rsidR="003C1E96">
        <w:t>: Ashdod, Ashkelon, Gaza, E</w:t>
      </w:r>
      <w:r w:rsidR="00B87FF1">
        <w:t xml:space="preserve">kron, and Gath. As they moved inland, they </w:t>
      </w:r>
      <w:r w:rsidR="009E516C">
        <w:t xml:space="preserve">began to war with the </w:t>
      </w:r>
      <w:r w:rsidR="00245DA2">
        <w:t>Israelites</w:t>
      </w:r>
      <w:r w:rsidR="009E516C">
        <w:t xml:space="preserve">. </w:t>
      </w:r>
      <w:r w:rsidR="005A6B40">
        <w:t xml:space="preserve">Saul was </w:t>
      </w:r>
      <w:r w:rsidR="00B543C8">
        <w:t>unable</w:t>
      </w:r>
      <w:r w:rsidR="005A6B40">
        <w:t xml:space="preserve"> </w:t>
      </w:r>
      <w:r w:rsidR="00B543C8">
        <w:t>to prevail against them (1 Sam. 31); however, King David, a vassal of Achish, the king of Gath (1 Sam. 27; 29),</w:t>
      </w:r>
      <w:r w:rsidR="009F54DE">
        <w:t xml:space="preserve"> defeated them. Over the following centuries</w:t>
      </w:r>
      <w:r w:rsidR="00B543C8">
        <w:t>, the Philistines had border skirmishes with Israel (i.e.,</w:t>
      </w:r>
      <w:r w:rsidR="00D227C4">
        <w:t xml:space="preserve"> I K</w:t>
      </w:r>
      <w:r w:rsidR="00D111C8">
        <w:t>ing</w:t>
      </w:r>
      <w:r w:rsidR="00D227C4">
        <w:t xml:space="preserve">s 15:27, </w:t>
      </w:r>
      <w:r w:rsidR="00151CA5">
        <w:t>1 Chr</w:t>
      </w:r>
      <w:r w:rsidR="00885150">
        <w:t>on</w:t>
      </w:r>
      <w:r w:rsidR="00151CA5">
        <w:t>. 11:12-19</w:t>
      </w:r>
      <w:r w:rsidR="00B543C8">
        <w:t>)</w:t>
      </w:r>
      <w:r w:rsidR="001A78CB">
        <w:t xml:space="preserve"> until they </w:t>
      </w:r>
      <w:r w:rsidR="00B64956">
        <w:t>were conquered by the Assyrians in 734 B</w:t>
      </w:r>
      <w:r w:rsidR="00EB4D55">
        <w:t>.</w:t>
      </w:r>
      <w:r w:rsidR="00B64956">
        <w:t xml:space="preserve">C. The Philistine kingdom officially ended after they were conquered and destroyed </w:t>
      </w:r>
      <w:r w:rsidR="00B543C8">
        <w:t>by Nebuchadnezzar in 604 B</w:t>
      </w:r>
      <w:r w:rsidR="00EB4D55">
        <w:t>.</w:t>
      </w:r>
      <w:r w:rsidR="00B543C8">
        <w:t>C.</w:t>
      </w:r>
      <w:r w:rsidR="00B543C8">
        <w:rPr>
          <w:rStyle w:val="FootnoteReference"/>
        </w:rPr>
        <w:footnoteReference w:id="27"/>
      </w:r>
    </w:p>
    <w:p w14:paraId="36C5445B" w14:textId="65B350B3" w:rsidR="00F6739B" w:rsidRPr="000475E3" w:rsidRDefault="00E7119B" w:rsidP="00D34B20">
      <w:pPr>
        <w:rPr>
          <w:u w:val="single"/>
        </w:rPr>
      </w:pPr>
      <w:r w:rsidRPr="000475E3">
        <w:rPr>
          <w:u w:val="single"/>
        </w:rPr>
        <w:t xml:space="preserve">Ark of the Covenant </w:t>
      </w:r>
    </w:p>
    <w:p w14:paraId="101CAB00" w14:textId="3A3D3522" w:rsidR="00785642" w:rsidRPr="00975C39" w:rsidRDefault="00310F81" w:rsidP="00D34B20">
      <w:r>
        <w:t>Th</w:t>
      </w:r>
      <w:r w:rsidR="008966F5">
        <w:t>is ark (lit</w:t>
      </w:r>
      <w:r w:rsidR="00885150">
        <w:t>.</w:t>
      </w:r>
      <w:r w:rsidR="008966F5">
        <w:t xml:space="preserve"> </w:t>
      </w:r>
      <w:r w:rsidR="00885150">
        <w:t>“</w:t>
      </w:r>
      <w:r w:rsidR="008966F5">
        <w:t>chest or coffer</w:t>
      </w:r>
      <w:r w:rsidR="00885150">
        <w:t>”</w:t>
      </w:r>
      <w:r w:rsidR="008966F5">
        <w:t xml:space="preserve">) became known as the Ark </w:t>
      </w:r>
      <w:r w:rsidR="004619D7">
        <w:t>of</w:t>
      </w:r>
      <w:r w:rsidR="008966F5">
        <w:t xml:space="preserve"> the Covenant because </w:t>
      </w:r>
      <w:r w:rsidR="00CE5A63">
        <w:t xml:space="preserve">the tablets of the Ten Commandments </w:t>
      </w:r>
      <w:r w:rsidR="004619D7">
        <w:t xml:space="preserve">were deposited inside of it. </w:t>
      </w:r>
      <w:r w:rsidR="005B3FA5">
        <w:t xml:space="preserve">(Ex. 25:16) </w:t>
      </w:r>
      <w:r w:rsidR="00F447D2">
        <w:t xml:space="preserve">The </w:t>
      </w:r>
      <w:r w:rsidR="004307E1">
        <w:t>a</w:t>
      </w:r>
      <w:r w:rsidR="00F447D2">
        <w:t xml:space="preserve">rk also contained a jar of </w:t>
      </w:r>
      <w:r w:rsidR="00F447D2">
        <w:lastRenderedPageBreak/>
        <w:t>manna (Ex. 16:33-34)</w:t>
      </w:r>
      <w:r w:rsidR="002E2764">
        <w:t xml:space="preserve"> </w:t>
      </w:r>
      <w:r w:rsidR="00311E8B">
        <w:t xml:space="preserve">and </w:t>
      </w:r>
      <w:r w:rsidR="002E2764">
        <w:t>Aaron’s staff (Num. 17:10)</w:t>
      </w:r>
      <w:r w:rsidR="00E239CB">
        <w:t>. Heb</w:t>
      </w:r>
      <w:r w:rsidR="00311E8B">
        <w:t>rews</w:t>
      </w:r>
      <w:r w:rsidR="00E239CB">
        <w:t xml:space="preserve"> </w:t>
      </w:r>
      <w:r w:rsidR="0039244D">
        <w:t xml:space="preserve">9:4 lists the items. However, </w:t>
      </w:r>
      <w:r w:rsidR="000475E3">
        <w:t xml:space="preserve">in </w:t>
      </w:r>
      <w:r w:rsidR="0097547A">
        <w:t>Solomon's time</w:t>
      </w:r>
      <w:r w:rsidR="000475E3">
        <w:t>, the ark only contained tablets. (1 K</w:t>
      </w:r>
      <w:r w:rsidR="004307E1">
        <w:t>ings</w:t>
      </w:r>
      <w:r w:rsidR="000475E3">
        <w:t xml:space="preserve"> 8:9)</w:t>
      </w:r>
      <w:r w:rsidR="00395028">
        <w:rPr>
          <w:rStyle w:val="FootnoteReference"/>
        </w:rPr>
        <w:footnoteReference w:id="28"/>
      </w:r>
    </w:p>
    <w:p w14:paraId="1390F804" w14:textId="493BA458" w:rsidR="00CA750A" w:rsidRPr="00D769FD" w:rsidRDefault="00AC35CD" w:rsidP="00D34B20">
      <w:pPr>
        <w:rPr>
          <w:u w:val="single"/>
        </w:rPr>
      </w:pPr>
      <w:r w:rsidRPr="00D769FD">
        <w:rPr>
          <w:u w:val="single"/>
        </w:rPr>
        <w:t xml:space="preserve">The Journey of the Ark of the Covenant in 1-2 Samuel </w:t>
      </w:r>
      <w:r w:rsidR="00B45CD7">
        <w:rPr>
          <w:rStyle w:val="FootnoteReference"/>
          <w:u w:val="single"/>
        </w:rPr>
        <w:footnoteReference w:id="29"/>
      </w:r>
    </w:p>
    <w:tbl>
      <w:tblPr>
        <w:tblStyle w:val="TableGrid"/>
        <w:tblW w:w="0" w:type="auto"/>
        <w:tblLook w:val="04A0" w:firstRow="1" w:lastRow="0" w:firstColumn="1" w:lastColumn="0" w:noHBand="0" w:noVBand="1"/>
      </w:tblPr>
      <w:tblGrid>
        <w:gridCol w:w="4675"/>
        <w:gridCol w:w="4675"/>
      </w:tblGrid>
      <w:tr w:rsidR="00CA750A" w14:paraId="29432895" w14:textId="77777777" w:rsidTr="00CA750A">
        <w:tc>
          <w:tcPr>
            <w:tcW w:w="4675" w:type="dxa"/>
          </w:tcPr>
          <w:p w14:paraId="7DDE9AE9" w14:textId="434F3595" w:rsidR="00CA750A" w:rsidRDefault="00AC35CD" w:rsidP="00D34B20">
            <w:r>
              <w:t xml:space="preserve">1 Sam. 3:3 </w:t>
            </w:r>
          </w:p>
        </w:tc>
        <w:tc>
          <w:tcPr>
            <w:tcW w:w="4675" w:type="dxa"/>
          </w:tcPr>
          <w:p w14:paraId="5FE9D953" w14:textId="51077BA2" w:rsidR="00CA750A" w:rsidRDefault="007A5817" w:rsidP="00D34B20">
            <w:r>
              <w:t>The ark was in the tent of meeting</w:t>
            </w:r>
          </w:p>
        </w:tc>
      </w:tr>
      <w:tr w:rsidR="00CA750A" w14:paraId="2E356084" w14:textId="77777777" w:rsidTr="00AC35CD">
        <w:trPr>
          <w:trHeight w:val="107"/>
        </w:trPr>
        <w:tc>
          <w:tcPr>
            <w:tcW w:w="4675" w:type="dxa"/>
          </w:tcPr>
          <w:p w14:paraId="1078B765" w14:textId="14DB2373" w:rsidR="00CA750A" w:rsidRDefault="00CE7CCA" w:rsidP="00D34B20">
            <w:r>
              <w:t>1 Sam. 4</w:t>
            </w:r>
          </w:p>
        </w:tc>
        <w:tc>
          <w:tcPr>
            <w:tcW w:w="4675" w:type="dxa"/>
          </w:tcPr>
          <w:p w14:paraId="02205A50" w14:textId="295C67EE" w:rsidR="00CA750A" w:rsidRDefault="00A50C83" w:rsidP="00D34B20">
            <w:r>
              <w:t>The a</w:t>
            </w:r>
            <w:r w:rsidR="007A5817">
              <w:t>rk</w:t>
            </w:r>
            <w:r w:rsidR="007D33D2">
              <w:t xml:space="preserve"> was</w:t>
            </w:r>
            <w:r w:rsidR="007A5817">
              <w:t xml:space="preserve"> captured by the Philistines </w:t>
            </w:r>
          </w:p>
        </w:tc>
      </w:tr>
      <w:tr w:rsidR="00CA750A" w14:paraId="4C57FB1E" w14:textId="77777777" w:rsidTr="00CA750A">
        <w:tc>
          <w:tcPr>
            <w:tcW w:w="4675" w:type="dxa"/>
          </w:tcPr>
          <w:p w14:paraId="50C47D4C" w14:textId="47657224" w:rsidR="00CA750A" w:rsidRDefault="00CE7CCA" w:rsidP="00D34B20">
            <w:r>
              <w:t>1 Sam. 5:1-7</w:t>
            </w:r>
          </w:p>
        </w:tc>
        <w:tc>
          <w:tcPr>
            <w:tcW w:w="4675" w:type="dxa"/>
          </w:tcPr>
          <w:p w14:paraId="1D07B92F" w14:textId="4AB946CD" w:rsidR="00CA750A" w:rsidRDefault="00357292" w:rsidP="00D34B20">
            <w:r>
              <w:t>Philistines bring the ark to Ashdod, setting it next to the idol of Dagon</w:t>
            </w:r>
          </w:p>
        </w:tc>
      </w:tr>
      <w:tr w:rsidR="00CA750A" w14:paraId="307DC9D6" w14:textId="77777777" w:rsidTr="00CA750A">
        <w:tc>
          <w:tcPr>
            <w:tcW w:w="4675" w:type="dxa"/>
          </w:tcPr>
          <w:p w14:paraId="66498CD5" w14:textId="31717DE5" w:rsidR="00CA750A" w:rsidRDefault="003A730E" w:rsidP="00D34B20">
            <w:r>
              <w:t>1 Sam. 5:8-9</w:t>
            </w:r>
          </w:p>
        </w:tc>
        <w:tc>
          <w:tcPr>
            <w:tcW w:w="4675" w:type="dxa"/>
          </w:tcPr>
          <w:p w14:paraId="2EACA68A" w14:textId="2CB4C293" w:rsidR="00CA750A" w:rsidRDefault="00357292" w:rsidP="00D34B20">
            <w:r>
              <w:t>Philistines bring the ark to Gath</w:t>
            </w:r>
          </w:p>
        </w:tc>
      </w:tr>
      <w:tr w:rsidR="00FF3177" w14:paraId="42F27A25" w14:textId="77777777" w:rsidTr="00CA750A">
        <w:tc>
          <w:tcPr>
            <w:tcW w:w="4675" w:type="dxa"/>
          </w:tcPr>
          <w:p w14:paraId="71717001" w14:textId="63C464EB" w:rsidR="00FF3177" w:rsidRDefault="00FF3177" w:rsidP="00D34B20">
            <w:r>
              <w:t xml:space="preserve">1 Sam. </w:t>
            </w:r>
            <w:r w:rsidR="003B75C3">
              <w:t>5:10-11</w:t>
            </w:r>
          </w:p>
        </w:tc>
        <w:tc>
          <w:tcPr>
            <w:tcW w:w="4675" w:type="dxa"/>
          </w:tcPr>
          <w:p w14:paraId="27E2CD80" w14:textId="2720D57D" w:rsidR="00FF3177" w:rsidRDefault="00B82DC5" w:rsidP="00D34B20">
            <w:r>
              <w:t>Philistines send the ark to Ekron</w:t>
            </w:r>
          </w:p>
        </w:tc>
      </w:tr>
      <w:tr w:rsidR="00CA750A" w14:paraId="09BD309E" w14:textId="77777777" w:rsidTr="00CA750A">
        <w:tc>
          <w:tcPr>
            <w:tcW w:w="4675" w:type="dxa"/>
          </w:tcPr>
          <w:p w14:paraId="64B4D814" w14:textId="2E60DC1D" w:rsidR="00CA750A" w:rsidRDefault="003A730E" w:rsidP="00D34B20">
            <w:r>
              <w:t>1 Sam. 6:10-15</w:t>
            </w:r>
          </w:p>
        </w:tc>
        <w:tc>
          <w:tcPr>
            <w:tcW w:w="4675" w:type="dxa"/>
          </w:tcPr>
          <w:p w14:paraId="08D26018" w14:textId="1C4F1167" w:rsidR="00CA750A" w:rsidRDefault="008A682B" w:rsidP="00D34B20">
            <w:r>
              <w:t xml:space="preserve">Philistines return the ark with </w:t>
            </w:r>
            <w:r w:rsidR="00EE6D86">
              <w:t xml:space="preserve">a </w:t>
            </w:r>
            <w:r>
              <w:t>guilt offering to Beth-shemeh</w:t>
            </w:r>
          </w:p>
        </w:tc>
      </w:tr>
      <w:tr w:rsidR="00CA750A" w14:paraId="5932A48A" w14:textId="77777777" w:rsidTr="00CA750A">
        <w:tc>
          <w:tcPr>
            <w:tcW w:w="4675" w:type="dxa"/>
          </w:tcPr>
          <w:p w14:paraId="39FEE435" w14:textId="3178EBD2" w:rsidR="00CA750A" w:rsidRDefault="003A730E" w:rsidP="00D34B20">
            <w:r>
              <w:t>1 Sam. 6:19-</w:t>
            </w:r>
            <w:r w:rsidR="00485E7E">
              <w:t>19-21</w:t>
            </w:r>
          </w:p>
        </w:tc>
        <w:tc>
          <w:tcPr>
            <w:tcW w:w="4675" w:type="dxa"/>
          </w:tcPr>
          <w:p w14:paraId="028591AF" w14:textId="3CDA4327" w:rsidR="00CA750A" w:rsidRDefault="00EE6D86" w:rsidP="00D34B20">
            <w:r>
              <w:t>The Lord strikes 70 men for looking upon the ark</w:t>
            </w:r>
          </w:p>
        </w:tc>
      </w:tr>
      <w:tr w:rsidR="00CA750A" w14:paraId="0269BA8B" w14:textId="77777777" w:rsidTr="00CA750A">
        <w:tc>
          <w:tcPr>
            <w:tcW w:w="4675" w:type="dxa"/>
          </w:tcPr>
          <w:p w14:paraId="06DF244C" w14:textId="7565AF9B" w:rsidR="00CA750A" w:rsidRDefault="00485E7E" w:rsidP="00D34B20">
            <w:r>
              <w:t>1 Sam. 7:1-2</w:t>
            </w:r>
          </w:p>
        </w:tc>
        <w:tc>
          <w:tcPr>
            <w:tcW w:w="4675" w:type="dxa"/>
          </w:tcPr>
          <w:p w14:paraId="398019C7" w14:textId="28B90B36" w:rsidR="00CA750A" w:rsidRDefault="00EE6D86" w:rsidP="00D34B20">
            <w:r>
              <w:t>Men of Kir</w:t>
            </w:r>
            <w:r w:rsidR="00D769FD">
              <w:t>ath-jearim take the ark to the house of Abinadab (where it stays for 20 years)</w:t>
            </w:r>
          </w:p>
        </w:tc>
      </w:tr>
      <w:tr w:rsidR="00CA750A" w14:paraId="25EB166D" w14:textId="77777777" w:rsidTr="00CA750A">
        <w:tc>
          <w:tcPr>
            <w:tcW w:w="4675" w:type="dxa"/>
          </w:tcPr>
          <w:p w14:paraId="2D261268" w14:textId="189BDC1C" w:rsidR="00CA750A" w:rsidRDefault="00485E7E" w:rsidP="00D34B20">
            <w:r>
              <w:t>1 Sam.</w:t>
            </w:r>
            <w:r w:rsidR="00826634">
              <w:t xml:space="preserve"> 14:18</w:t>
            </w:r>
          </w:p>
        </w:tc>
        <w:tc>
          <w:tcPr>
            <w:tcW w:w="4675" w:type="dxa"/>
          </w:tcPr>
          <w:p w14:paraId="289CE432" w14:textId="31C2772E" w:rsidR="00CA750A" w:rsidRDefault="00A81DCC" w:rsidP="00D34B20">
            <w:r>
              <w:t>Saul commands Ahijah to bring the ark to the war camp</w:t>
            </w:r>
          </w:p>
        </w:tc>
      </w:tr>
      <w:tr w:rsidR="00CA750A" w14:paraId="691EA539" w14:textId="77777777" w:rsidTr="00CA750A">
        <w:tc>
          <w:tcPr>
            <w:tcW w:w="4675" w:type="dxa"/>
          </w:tcPr>
          <w:p w14:paraId="46C81948" w14:textId="25B9F94E" w:rsidR="00CA750A" w:rsidRDefault="00826634" w:rsidP="00D34B20">
            <w:r>
              <w:t xml:space="preserve">2 Sam. 6:2-5 </w:t>
            </w:r>
          </w:p>
        </w:tc>
        <w:tc>
          <w:tcPr>
            <w:tcW w:w="4675" w:type="dxa"/>
          </w:tcPr>
          <w:p w14:paraId="057EB627" w14:textId="3180CBBB" w:rsidR="00CA750A" w:rsidRDefault="00C3312A" w:rsidP="00D34B20">
            <w:r>
              <w:t xml:space="preserve">David begins to move the ark to Jerusalem on a cart </w:t>
            </w:r>
          </w:p>
        </w:tc>
      </w:tr>
      <w:tr w:rsidR="00CA750A" w14:paraId="24B7F7DD" w14:textId="77777777" w:rsidTr="00CA750A">
        <w:tc>
          <w:tcPr>
            <w:tcW w:w="4675" w:type="dxa"/>
          </w:tcPr>
          <w:p w14:paraId="57B5583E" w14:textId="77A008AD" w:rsidR="00CA750A" w:rsidRDefault="00826634" w:rsidP="00D34B20">
            <w:r>
              <w:t>2 Sam.</w:t>
            </w:r>
            <w:r w:rsidR="0013791C">
              <w:t>6:6-7</w:t>
            </w:r>
          </w:p>
        </w:tc>
        <w:tc>
          <w:tcPr>
            <w:tcW w:w="4675" w:type="dxa"/>
          </w:tcPr>
          <w:p w14:paraId="630728E0" w14:textId="433EFA9C" w:rsidR="00CA750A" w:rsidRDefault="00C3312A" w:rsidP="00D34B20">
            <w:r>
              <w:t xml:space="preserve">The Lord strikes Uzzah dead for holding the ark </w:t>
            </w:r>
          </w:p>
        </w:tc>
      </w:tr>
      <w:tr w:rsidR="00CA750A" w14:paraId="1A986040" w14:textId="77777777" w:rsidTr="00CA750A">
        <w:tc>
          <w:tcPr>
            <w:tcW w:w="4675" w:type="dxa"/>
          </w:tcPr>
          <w:p w14:paraId="40AC8EA2" w14:textId="28FBF068" w:rsidR="00CA750A" w:rsidRDefault="0013791C" w:rsidP="00D34B20">
            <w:r>
              <w:t>2 Sam. 6:10-11</w:t>
            </w:r>
          </w:p>
        </w:tc>
        <w:tc>
          <w:tcPr>
            <w:tcW w:w="4675" w:type="dxa"/>
          </w:tcPr>
          <w:p w14:paraId="36E8C348" w14:textId="779B024B" w:rsidR="00CA750A" w:rsidRDefault="00436AC2" w:rsidP="00D34B20">
            <w:r>
              <w:t xml:space="preserve">David takes the ark to Obed-edom, where it stays for three months </w:t>
            </w:r>
          </w:p>
        </w:tc>
      </w:tr>
      <w:tr w:rsidR="00CA750A" w14:paraId="36000232" w14:textId="77777777" w:rsidTr="00CA750A">
        <w:tc>
          <w:tcPr>
            <w:tcW w:w="4675" w:type="dxa"/>
          </w:tcPr>
          <w:p w14:paraId="62B1287A" w14:textId="0D5494F8" w:rsidR="00CA750A" w:rsidRDefault="0013791C" w:rsidP="00D34B20">
            <w:r>
              <w:t>2 Sam. 6:12-17</w:t>
            </w:r>
          </w:p>
        </w:tc>
        <w:tc>
          <w:tcPr>
            <w:tcW w:w="4675" w:type="dxa"/>
          </w:tcPr>
          <w:p w14:paraId="416AB71F" w14:textId="1C9305FE" w:rsidR="00CA750A" w:rsidRDefault="00B4185D" w:rsidP="00D34B20">
            <w:r>
              <w:t>David brings the ark to Jerusalem and puts it into the tent he pitched for it</w:t>
            </w:r>
          </w:p>
        </w:tc>
      </w:tr>
      <w:tr w:rsidR="00CA750A" w14:paraId="1F314402" w14:textId="77777777" w:rsidTr="00CA750A">
        <w:tc>
          <w:tcPr>
            <w:tcW w:w="4675" w:type="dxa"/>
          </w:tcPr>
          <w:p w14:paraId="3960FB27" w14:textId="6843661F" w:rsidR="00CA750A" w:rsidRDefault="0013791C" w:rsidP="00D34B20">
            <w:r>
              <w:t>2 Sam. 15:24-25</w:t>
            </w:r>
          </w:p>
        </w:tc>
        <w:tc>
          <w:tcPr>
            <w:tcW w:w="4675" w:type="dxa"/>
          </w:tcPr>
          <w:p w14:paraId="588FC97A" w14:textId="685201E3" w:rsidR="00CA750A" w:rsidRDefault="00B4185D" w:rsidP="00D34B20">
            <w:r>
              <w:t>Zadok brings the ark to David, who commands him to carry it back to Jerusalem</w:t>
            </w:r>
          </w:p>
        </w:tc>
      </w:tr>
      <w:tr w:rsidR="00CA750A" w14:paraId="014AA578" w14:textId="77777777" w:rsidTr="00CA750A">
        <w:tc>
          <w:tcPr>
            <w:tcW w:w="4675" w:type="dxa"/>
          </w:tcPr>
          <w:p w14:paraId="400ACFC7" w14:textId="5F1C7E7E" w:rsidR="00CA750A" w:rsidRDefault="00A058FF" w:rsidP="00D34B20">
            <w:r>
              <w:t>2 Sam. 15:29</w:t>
            </w:r>
          </w:p>
        </w:tc>
        <w:tc>
          <w:tcPr>
            <w:tcW w:w="4675" w:type="dxa"/>
          </w:tcPr>
          <w:p w14:paraId="79D1D0F8" w14:textId="5BACF0B8" w:rsidR="00CA750A" w:rsidRDefault="00B4185D" w:rsidP="00D34B20">
            <w:r>
              <w:t>Zadok and Abi</w:t>
            </w:r>
            <w:r w:rsidR="003348A3">
              <w:t>a</w:t>
            </w:r>
            <w:r>
              <w:t xml:space="preserve">thar carry the ark back to Jerusalem </w:t>
            </w:r>
          </w:p>
        </w:tc>
      </w:tr>
    </w:tbl>
    <w:p w14:paraId="06E7A29A" w14:textId="70D5F243" w:rsidR="009D4747" w:rsidRPr="00CD3BB1" w:rsidRDefault="008C04EC" w:rsidP="00D34B20">
      <w:pPr>
        <w:rPr>
          <w:i/>
          <w:iCs/>
        </w:rPr>
      </w:pP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t xml:space="preserve">                        </w:t>
      </w:r>
      <w:r w:rsidR="009D4747" w:rsidRPr="00CD3BB1">
        <w:rPr>
          <w:i/>
          <w:iCs/>
        </w:rPr>
        <w:t>1 Sam</w:t>
      </w:r>
      <w:r>
        <w:rPr>
          <w:i/>
          <w:iCs/>
        </w:rPr>
        <w:t>.</w:t>
      </w:r>
      <w:r w:rsidR="009D4747" w:rsidRPr="00CD3BB1">
        <w:rPr>
          <w:i/>
          <w:iCs/>
        </w:rPr>
        <w:t xml:space="preserve"> 5 </w:t>
      </w:r>
    </w:p>
    <w:p w14:paraId="5314DE18" w14:textId="12C0C9F0" w:rsidR="009D4747" w:rsidRDefault="00CE2DAB" w:rsidP="00D34B20">
      <w:pPr>
        <w:rPr>
          <w:u w:val="single"/>
        </w:rPr>
      </w:pPr>
      <w:r>
        <w:rPr>
          <w:u w:val="single"/>
        </w:rPr>
        <w:t>Ashdod</w:t>
      </w:r>
    </w:p>
    <w:p w14:paraId="46D34E01" w14:textId="1FAA3773" w:rsidR="00CD3BB1" w:rsidRDefault="00C92473">
      <w:r>
        <w:t xml:space="preserve">Ashdod was one of the five-city states of the Philistines. </w:t>
      </w:r>
      <w:r w:rsidR="00CB4D9B">
        <w:t xml:space="preserve">It, along with Ekron, were the two northernmost cities. Ashdod was near the </w:t>
      </w:r>
      <w:r w:rsidR="00244E35">
        <w:t>coast on the Via Maris road.</w:t>
      </w:r>
      <w:r w:rsidR="003344D8">
        <w:rPr>
          <w:rStyle w:val="FootnoteReference"/>
        </w:rPr>
        <w:footnoteReference w:id="30"/>
      </w:r>
      <w:r w:rsidR="00CD3BB1">
        <w:br w:type="page"/>
      </w:r>
    </w:p>
    <w:p w14:paraId="1307BABC" w14:textId="242D70EE" w:rsidR="00CE2DAB" w:rsidRDefault="00CE2DAB" w:rsidP="00D34B20">
      <w:pPr>
        <w:rPr>
          <w:u w:val="single"/>
        </w:rPr>
      </w:pPr>
      <w:r>
        <w:rPr>
          <w:u w:val="single"/>
        </w:rPr>
        <w:lastRenderedPageBreak/>
        <w:t>Dagon</w:t>
      </w:r>
    </w:p>
    <w:p w14:paraId="1A5DBE03" w14:textId="17889580" w:rsidR="00CE2DAB" w:rsidRPr="00DA22B9" w:rsidRDefault="0077689A" w:rsidP="00D34B20">
      <w:r>
        <w:t>Dagon was the nation</w:t>
      </w:r>
      <w:r w:rsidR="00F006BB">
        <w:t xml:space="preserve">al </w:t>
      </w:r>
      <w:r>
        <w:t xml:space="preserve">god of the Philistines. </w:t>
      </w:r>
      <w:r w:rsidR="00C434FF">
        <w:t>In some Ugaritic table</w:t>
      </w:r>
      <w:r w:rsidR="00C759F0">
        <w:t>t</w:t>
      </w:r>
      <w:r w:rsidR="00C434FF">
        <w:t>s</w:t>
      </w:r>
      <w:r w:rsidR="00B03224">
        <w:t>,</w:t>
      </w:r>
      <w:r w:rsidR="00C434FF">
        <w:t xml:space="preserve"> </w:t>
      </w:r>
      <w:r w:rsidR="00C759F0">
        <w:t>Baal</w:t>
      </w:r>
      <w:r w:rsidR="00C434FF">
        <w:t xml:space="preserve"> </w:t>
      </w:r>
      <w:r w:rsidR="00D64654">
        <w:t>wa</w:t>
      </w:r>
      <w:r w:rsidR="00C434FF">
        <w:t>s referred to a</w:t>
      </w:r>
      <w:r w:rsidR="00725803">
        <w:t xml:space="preserve">s Dagon’s son. The ark </w:t>
      </w:r>
      <w:r w:rsidR="00D64654">
        <w:t>wa</w:t>
      </w:r>
      <w:r w:rsidR="00725803">
        <w:t xml:space="preserve">s placed in </w:t>
      </w:r>
      <w:r w:rsidR="003B3705">
        <w:t>the</w:t>
      </w:r>
      <w:r w:rsidR="00725803">
        <w:t xml:space="preserve"> temple of Dago</w:t>
      </w:r>
      <w:r w:rsidR="00F006BB">
        <w:t>n</w:t>
      </w:r>
      <w:r w:rsidR="00725803">
        <w:t xml:space="preserve"> in Ashdod (v. 2), and Samson </w:t>
      </w:r>
      <w:r w:rsidR="00C759F0">
        <w:t>pull</w:t>
      </w:r>
      <w:r w:rsidR="00D64654">
        <w:t>ed</w:t>
      </w:r>
      <w:r w:rsidR="00C759F0">
        <w:t xml:space="preserve"> down the temple of Dagon at Gaza in Jud</w:t>
      </w:r>
      <w:r w:rsidR="00F006BB">
        <w:t>ges</w:t>
      </w:r>
      <w:r w:rsidR="00C759F0">
        <w:t xml:space="preserve"> 16:23.</w:t>
      </w:r>
      <w:r w:rsidR="00C759F0">
        <w:rPr>
          <w:rStyle w:val="FootnoteReference"/>
        </w:rPr>
        <w:footnoteReference w:id="31"/>
      </w:r>
    </w:p>
    <w:p w14:paraId="5920D3AE" w14:textId="63A52985" w:rsidR="00CE2DAB" w:rsidRDefault="00CE2DAB" w:rsidP="00D34B20">
      <w:pPr>
        <w:rPr>
          <w:u w:val="single"/>
        </w:rPr>
      </w:pPr>
      <w:r>
        <w:rPr>
          <w:u w:val="single"/>
        </w:rPr>
        <w:t xml:space="preserve">Tumors </w:t>
      </w:r>
    </w:p>
    <w:p w14:paraId="259D060B" w14:textId="085B8AAB" w:rsidR="00DD5A9C" w:rsidRDefault="00A50962" w:rsidP="00D34B20">
      <w:r>
        <w:t xml:space="preserve">The tumors were likely </w:t>
      </w:r>
      <w:r w:rsidR="00E00581">
        <w:t>“</w:t>
      </w:r>
      <w:r w:rsidR="004D0357">
        <w:t>b</w:t>
      </w:r>
      <w:r w:rsidR="008C63BC">
        <w:t>ub</w:t>
      </w:r>
      <w:r w:rsidR="004D0357">
        <w:t>oes—not anal tumors or hem</w:t>
      </w:r>
      <w:r w:rsidR="00C56954">
        <w:t>orrhoids (=KJV’s “emerods”)—caused by a roden</w:t>
      </w:r>
      <w:r w:rsidR="008C63BC">
        <w:t>t-borne disease (cf. 6:4).”</w:t>
      </w:r>
      <w:r w:rsidR="00E00581">
        <w:rPr>
          <w:rStyle w:val="FootnoteReference"/>
        </w:rPr>
        <w:footnoteReference w:id="32"/>
      </w:r>
      <w:r w:rsidR="0082246A">
        <w:t xml:space="preserve"> </w:t>
      </w:r>
      <w:r w:rsidR="002A48E3">
        <w:t xml:space="preserve">The tumors align with what the Lord said in </w:t>
      </w:r>
      <w:r w:rsidR="0082246A">
        <w:t>Deu</w:t>
      </w:r>
      <w:r w:rsidR="003A0C88">
        <w:t>teronomy</w:t>
      </w:r>
      <w:r w:rsidR="0082246A">
        <w:t xml:space="preserve"> 28:27</w:t>
      </w:r>
      <w:r w:rsidR="002A48E3">
        <w:t>, “</w:t>
      </w:r>
      <w:r w:rsidR="002A48E3" w:rsidRPr="002A48E3">
        <w:t>The LORD will strike you with the boils of Egypt, and with tumors and scabs and itch, of which you cannot be healed.</w:t>
      </w:r>
      <w:r w:rsidR="002A48E3">
        <w:t xml:space="preserve">” </w:t>
      </w:r>
    </w:p>
    <w:p w14:paraId="27AE3248" w14:textId="6F93FDC5" w:rsidR="000835A3" w:rsidRPr="00CD3BB1" w:rsidRDefault="000835A3" w:rsidP="00D34B20">
      <w:pPr>
        <w:rPr>
          <w:i/>
          <w:iCs/>
        </w:rPr>
      </w:pPr>
      <w:r w:rsidRPr="00CD3BB1">
        <w:rPr>
          <w:i/>
          <w:iCs/>
        </w:rPr>
        <w:t>1 Sam</w:t>
      </w:r>
      <w:r w:rsidR="006E2009">
        <w:rPr>
          <w:i/>
          <w:iCs/>
        </w:rPr>
        <w:t>.</w:t>
      </w:r>
      <w:r w:rsidRPr="00CD3BB1">
        <w:rPr>
          <w:i/>
          <w:iCs/>
        </w:rPr>
        <w:t xml:space="preserve"> 6</w:t>
      </w:r>
    </w:p>
    <w:p w14:paraId="4E2B5AB6" w14:textId="419B9437" w:rsidR="000835A3" w:rsidRPr="00C762A1" w:rsidRDefault="003931F5" w:rsidP="00D34B20">
      <w:pPr>
        <w:rPr>
          <w:u w:val="single"/>
        </w:rPr>
      </w:pPr>
      <w:r w:rsidRPr="00C762A1">
        <w:rPr>
          <w:u w:val="single"/>
        </w:rPr>
        <w:t xml:space="preserve">Golden Tumors and Rats </w:t>
      </w:r>
    </w:p>
    <w:p w14:paraId="7A055071" w14:textId="6E35F07F" w:rsidR="00C31126" w:rsidRDefault="009C702B" w:rsidP="00D34B20">
      <w:r>
        <w:t>Klein s</w:t>
      </w:r>
      <w:r w:rsidR="00C762A1">
        <w:t xml:space="preserve">tates the following, </w:t>
      </w:r>
    </w:p>
    <w:p w14:paraId="5EF87578" w14:textId="6E308EAE" w:rsidR="003931F5" w:rsidRDefault="00873E14" w:rsidP="00C762A1">
      <w:pPr>
        <w:ind w:left="720"/>
      </w:pPr>
      <w:r>
        <w:t xml:space="preserve">The detestable </w:t>
      </w:r>
      <w:r w:rsidR="00C762A1">
        <w:t>diviners recommended appeasing Yahweh with ten fashioned images of gold, a violation of the Decalogue’s prohibition against all likenesses of animals and humans (cf. Exod</w:t>
      </w:r>
      <w:r w:rsidR="00B42D0E">
        <w:t>.</w:t>
      </w:r>
      <w:r w:rsidR="00C762A1">
        <w:t xml:space="preserve"> 20</w:t>
      </w:r>
      <w:r w:rsidR="000624F6">
        <w:t>:</w:t>
      </w:r>
      <w:r w:rsidR="00C762A1">
        <w:t>24: Deut</w:t>
      </w:r>
      <w:r w:rsidR="00B42D0E">
        <w:t>.</w:t>
      </w:r>
      <w:r w:rsidR="00C762A1">
        <w:t xml:space="preserve"> 5:8). Incredibly, the recommended statues were to be of ritually detestable</w:t>
      </w:r>
      <w:r w:rsidR="00F90EBA">
        <w:t xml:space="preserve"> animals (cf. Lev 11:29)—rats! As if that were not enough, </w:t>
      </w:r>
      <w:r w:rsidR="00C762A1">
        <w:t>Yahweh was also to be given a gift of five golden images of unclean portions of the human anatomy—“tumors”! This advice represents a syncretistic blend of pagan imitative magic and perverted Torah ritual.</w:t>
      </w:r>
      <w:r w:rsidR="00C762A1">
        <w:rPr>
          <w:rStyle w:val="FootnoteReference"/>
        </w:rPr>
        <w:footnoteReference w:id="33"/>
      </w:r>
    </w:p>
    <w:p w14:paraId="1C3DF450" w14:textId="0361B285" w:rsidR="00C762A1" w:rsidRPr="00631716" w:rsidRDefault="00F35680" w:rsidP="00C762A1">
      <w:pPr>
        <w:rPr>
          <w:u w:val="single"/>
        </w:rPr>
      </w:pPr>
      <w:r w:rsidRPr="00631716">
        <w:rPr>
          <w:u w:val="single"/>
        </w:rPr>
        <w:t xml:space="preserve">Beth-shemeh </w:t>
      </w:r>
    </w:p>
    <w:p w14:paraId="65BF68C2" w14:textId="71E87A72" w:rsidR="00F35680" w:rsidRDefault="003E2932" w:rsidP="00C762A1">
      <w:r>
        <w:t xml:space="preserve">Beth-shemesh was a priestly city </w:t>
      </w:r>
      <w:r w:rsidR="009C03BD">
        <w:t>of</w:t>
      </w:r>
      <w:r>
        <w:t xml:space="preserve"> the </w:t>
      </w:r>
      <w:r w:rsidR="009C03BD">
        <w:t>tribe</w:t>
      </w:r>
      <w:r>
        <w:t xml:space="preserve"> of Dan, located </w:t>
      </w:r>
      <w:r w:rsidR="009C03BD">
        <w:t>on the n</w:t>
      </w:r>
      <w:r w:rsidR="00F81BCF">
        <w:t>orthern</w:t>
      </w:r>
      <w:r w:rsidR="009C03BD">
        <w:t xml:space="preserve"> boundary of Judah. </w:t>
      </w:r>
      <w:r w:rsidR="00CE0B8B">
        <w:t>Josephus confirm</w:t>
      </w:r>
      <w:r w:rsidR="007763DD">
        <w:t>ed</w:t>
      </w:r>
      <w:r w:rsidR="00CE0B8B">
        <w:t xml:space="preserve"> the biblical </w:t>
      </w:r>
      <w:r w:rsidR="00630DD7">
        <w:t>account that 70 men were struck down here for irreverently gazing o</w:t>
      </w:r>
      <w:r w:rsidR="00D645E5">
        <w:t>n</w:t>
      </w:r>
      <w:r w:rsidR="00630DD7">
        <w:t xml:space="preserve"> the ark. </w:t>
      </w:r>
      <w:r w:rsidR="00D645E5">
        <w:t xml:space="preserve">The </w:t>
      </w:r>
      <w:r w:rsidR="00631716">
        <w:t>archeological site, Tell er-Rumeileh is associated with the town.</w:t>
      </w:r>
      <w:r w:rsidR="00631716">
        <w:rPr>
          <w:rStyle w:val="FootnoteReference"/>
        </w:rPr>
        <w:footnoteReference w:id="34"/>
      </w:r>
    </w:p>
    <w:p w14:paraId="7B2B833D" w14:textId="1B076F02" w:rsidR="005668EE" w:rsidRPr="00864F66" w:rsidRDefault="009C68D6" w:rsidP="00C762A1">
      <w:pPr>
        <w:rPr>
          <w:u w:val="single"/>
        </w:rPr>
      </w:pPr>
      <w:r w:rsidRPr="00864F66">
        <w:rPr>
          <w:u w:val="single"/>
        </w:rPr>
        <w:t>Kirath-jearim</w:t>
      </w:r>
    </w:p>
    <w:p w14:paraId="6327E3D2" w14:textId="1986944A" w:rsidR="009C68D6" w:rsidRDefault="009C68D6" w:rsidP="00C762A1">
      <w:r>
        <w:t>The town was</w:t>
      </w:r>
      <w:r w:rsidR="00DA1059">
        <w:t xml:space="preserve"> a strategic location</w:t>
      </w:r>
      <w:r>
        <w:t xml:space="preserve"> situated about 10 miles </w:t>
      </w:r>
      <w:r w:rsidR="00FB2B69">
        <w:t>up the Sorek</w:t>
      </w:r>
      <w:r w:rsidR="00513685">
        <w:t xml:space="preserve"> Valley toward Jerusalem. The location </w:t>
      </w:r>
      <w:r w:rsidR="00BE0A92">
        <w:t xml:space="preserve">was </w:t>
      </w:r>
      <w:r w:rsidR="00982F3F">
        <w:t>positioned</w:t>
      </w:r>
      <w:r w:rsidR="00BE0A92">
        <w:t xml:space="preserve"> on a hill on the boundaries of Judah, Dan, and Benjamin.</w:t>
      </w:r>
      <w:r w:rsidR="00BE0A92">
        <w:rPr>
          <w:rStyle w:val="FootnoteReference"/>
        </w:rPr>
        <w:footnoteReference w:id="35"/>
      </w:r>
      <w:r w:rsidR="00DA1059">
        <w:br w:type="page"/>
      </w:r>
    </w:p>
    <w:p w14:paraId="7611033C" w14:textId="1B7B52D3" w:rsidR="001E0316" w:rsidRPr="00CD3BB1" w:rsidRDefault="001E0316" w:rsidP="00C762A1">
      <w:pPr>
        <w:rPr>
          <w:i/>
          <w:iCs/>
        </w:rPr>
      </w:pPr>
      <w:r w:rsidRPr="00CD3BB1">
        <w:rPr>
          <w:i/>
          <w:iCs/>
        </w:rPr>
        <w:lastRenderedPageBreak/>
        <w:t>1 Sam</w:t>
      </w:r>
      <w:r w:rsidR="006E2009">
        <w:rPr>
          <w:i/>
          <w:iCs/>
        </w:rPr>
        <w:t>.</w:t>
      </w:r>
      <w:r w:rsidRPr="00CD3BB1">
        <w:rPr>
          <w:i/>
          <w:iCs/>
        </w:rPr>
        <w:t xml:space="preserve"> 7 </w:t>
      </w:r>
    </w:p>
    <w:p w14:paraId="128C1932" w14:textId="6DC31128" w:rsidR="008E41F1" w:rsidRPr="008E41F1" w:rsidRDefault="008E41F1" w:rsidP="00C762A1">
      <w:pPr>
        <w:rPr>
          <w:u w:val="single"/>
        </w:rPr>
      </w:pPr>
      <w:r w:rsidRPr="008E41F1">
        <w:rPr>
          <w:u w:val="single"/>
        </w:rPr>
        <w:t xml:space="preserve">Timeframe </w:t>
      </w:r>
    </w:p>
    <w:p w14:paraId="1378B00D" w14:textId="29B45AC6" w:rsidR="00FC0068" w:rsidRDefault="00F623F2" w:rsidP="00C762A1">
      <w:r>
        <w:t>A</w:t>
      </w:r>
      <w:r w:rsidR="002D3DC2">
        <w:t xml:space="preserve"> </w:t>
      </w:r>
      <w:r w:rsidR="006E01A1">
        <w:t>20-</w:t>
      </w:r>
      <w:r w:rsidR="002D3DC2">
        <w:t>year gap</w:t>
      </w:r>
      <w:r>
        <w:t xml:space="preserve"> occurs between v. 1 and v. 2. </w:t>
      </w:r>
      <w:r w:rsidR="008E41F1">
        <w:t xml:space="preserve">During those two decades, </w:t>
      </w:r>
      <w:r w:rsidR="00C24A2D">
        <w:t xml:space="preserve">Israel </w:t>
      </w:r>
      <w:r w:rsidR="006E01A1">
        <w:t>“lamented after the Lord</w:t>
      </w:r>
      <w:r w:rsidR="008E41F1">
        <w:t>.</w:t>
      </w:r>
      <w:r w:rsidR="006E01A1">
        <w:t>”</w:t>
      </w:r>
      <w:r w:rsidR="0063639F">
        <w:t xml:space="preserve"> (v. 2) </w:t>
      </w:r>
    </w:p>
    <w:p w14:paraId="2ADB26F9" w14:textId="77777777" w:rsidR="0063639F" w:rsidRPr="00341B0A" w:rsidRDefault="0063639F" w:rsidP="0063639F">
      <w:pPr>
        <w:rPr>
          <w:u w:val="single"/>
        </w:rPr>
      </w:pPr>
      <w:r w:rsidRPr="00341B0A">
        <w:rPr>
          <w:u w:val="single"/>
        </w:rPr>
        <w:t xml:space="preserve">Ebenezer </w:t>
      </w:r>
    </w:p>
    <w:p w14:paraId="3FC90824" w14:textId="75677795" w:rsidR="00341B0A" w:rsidRDefault="00AF2AF0" w:rsidP="00C762A1">
      <w:r>
        <w:t xml:space="preserve">The Israelites </w:t>
      </w:r>
      <w:r w:rsidR="005348B6">
        <w:t>won</w:t>
      </w:r>
      <w:r>
        <w:t xml:space="preserve"> an important victory over the Philistines. To mark the occasion, Samuel sets up an Ebenezer. </w:t>
      </w:r>
      <w:r w:rsidR="00444EA8">
        <w:t xml:space="preserve">This seems to be different than the Ebenezer </w:t>
      </w:r>
      <w:r w:rsidR="00494E3E">
        <w:t xml:space="preserve">(a location) </w:t>
      </w:r>
      <w:r w:rsidR="00444EA8">
        <w:t>mentioned in 1 Sam</w:t>
      </w:r>
      <w:r w:rsidR="004473C9">
        <w:t>uel</w:t>
      </w:r>
      <w:r w:rsidR="00444EA8">
        <w:t xml:space="preserve"> 4:</w:t>
      </w:r>
      <w:r w:rsidR="00C13860">
        <w:t xml:space="preserve">1. </w:t>
      </w:r>
      <w:r w:rsidR="00F62DCA">
        <w:t>This new Ebenezer certainly functioned as a memorial stone</w:t>
      </w:r>
      <w:r w:rsidR="004473C9">
        <w:t xml:space="preserve"> and </w:t>
      </w:r>
      <w:r w:rsidR="00F62DCA">
        <w:t xml:space="preserve">may have marked the new boundary between the Philistines and the Israelites. </w:t>
      </w:r>
      <w:r w:rsidR="00C065ED">
        <w:t xml:space="preserve">“Samuel may have chosen the name Ebenezer to </w:t>
      </w:r>
      <w:r w:rsidR="008D54DD">
        <w:t>declare</w:t>
      </w:r>
      <w:r w:rsidR="00C065ED">
        <w:t xml:space="preserve"> God’s victory over the Philistines in </w:t>
      </w:r>
      <w:r w:rsidR="008D54DD">
        <w:t>contrast</w:t>
      </w:r>
      <w:r w:rsidR="00C065ED">
        <w:t xml:space="preserve"> to the humiliating defeat suffered at the first Ebenezer (4:1)</w:t>
      </w:r>
      <w:r w:rsidR="008D54DD">
        <w:t>.</w:t>
      </w:r>
      <w:r w:rsidR="00B01294">
        <w:t>”</w:t>
      </w:r>
      <w:r w:rsidR="008D54DD">
        <w:rPr>
          <w:rStyle w:val="FootnoteReference"/>
        </w:rPr>
        <w:footnoteReference w:id="36"/>
      </w:r>
      <w:r w:rsidR="00B01294">
        <w:t xml:space="preserve"> “All that was lost through sin in the first Ebenezer event was restored through repentance in the second.”</w:t>
      </w:r>
      <w:r w:rsidR="00B01294">
        <w:rPr>
          <w:rStyle w:val="FootnoteReference"/>
        </w:rPr>
        <w:footnoteReference w:id="37"/>
      </w:r>
    </w:p>
    <w:p w14:paraId="1D50DC38" w14:textId="65251DA0" w:rsidR="00341B0A" w:rsidRPr="00CD3BB1" w:rsidRDefault="00341B0A" w:rsidP="00C762A1">
      <w:pPr>
        <w:rPr>
          <w:i/>
          <w:iCs/>
        </w:rPr>
      </w:pPr>
      <w:r w:rsidRPr="00CD3BB1">
        <w:rPr>
          <w:i/>
          <w:iCs/>
        </w:rPr>
        <w:t>1 Sam</w:t>
      </w:r>
      <w:r w:rsidR="006E2009">
        <w:rPr>
          <w:i/>
          <w:iCs/>
        </w:rPr>
        <w:t>.</w:t>
      </w:r>
      <w:r w:rsidRPr="00CD3BB1">
        <w:rPr>
          <w:i/>
          <w:iCs/>
        </w:rPr>
        <w:t xml:space="preserve"> 8</w:t>
      </w:r>
    </w:p>
    <w:p w14:paraId="5B65860F" w14:textId="0D669618" w:rsidR="00341B0A" w:rsidRDefault="00E67AA7" w:rsidP="00C762A1">
      <w:r>
        <w:t>Berge</w:t>
      </w:r>
      <w:r w:rsidR="00935B46">
        <w:t>n asse</w:t>
      </w:r>
      <w:r w:rsidR="00B244B0">
        <w:t>r</w:t>
      </w:r>
      <w:r w:rsidR="00935B46">
        <w:t>ts that 1 Sam</w:t>
      </w:r>
      <w:r w:rsidR="00B244B0">
        <w:t>ual</w:t>
      </w:r>
      <w:r w:rsidR="00935B46">
        <w:t xml:space="preserve"> 8 </w:t>
      </w:r>
      <w:r w:rsidR="008C21A8">
        <w:t xml:space="preserve">functions as </w:t>
      </w:r>
      <w:r w:rsidR="00E5648A">
        <w:t xml:space="preserve">a </w:t>
      </w:r>
      <w:r w:rsidR="008C21A8">
        <w:t>commentary on Deu</w:t>
      </w:r>
      <w:r w:rsidR="00B244B0">
        <w:t>teronomy</w:t>
      </w:r>
      <w:r w:rsidR="008C21A8">
        <w:t xml:space="preserve"> 16:18-17:20. He lists the following political, military, and spiritual factors </w:t>
      </w:r>
      <w:r w:rsidR="00E5648A">
        <w:t>that</w:t>
      </w:r>
      <w:r w:rsidR="00A847BF">
        <w:t xml:space="preserve"> impacted Israel’s demand for a change of leadership. </w:t>
      </w:r>
    </w:p>
    <w:p w14:paraId="64B18491" w14:textId="40CE7A3E" w:rsidR="00A847BF" w:rsidRDefault="0079556B" w:rsidP="00A847BF">
      <w:pPr>
        <w:pStyle w:val="ListParagraph"/>
        <w:numPr>
          <w:ilvl w:val="0"/>
          <w:numId w:val="17"/>
        </w:numPr>
      </w:pPr>
      <w:r>
        <w:t xml:space="preserve">The failure to establish a system </w:t>
      </w:r>
      <w:r w:rsidR="00496B8D">
        <w:t>producing</w:t>
      </w:r>
      <w:r>
        <w:t xml:space="preserve"> an adequate number of qualified judges to lead Israel. </w:t>
      </w:r>
      <w:r w:rsidR="00945AEA">
        <w:t>(8:3</w:t>
      </w:r>
      <w:r w:rsidR="00F13AF2">
        <w:t xml:space="preserve">-5) </w:t>
      </w:r>
      <w:r w:rsidR="009961F5">
        <w:t xml:space="preserve">At times, a judge’s son(s) would take over after his death; yet, on the </w:t>
      </w:r>
      <w:r w:rsidR="00E5648A">
        <w:t>whole</w:t>
      </w:r>
      <w:r w:rsidR="00A93328">
        <w:t>,</w:t>
      </w:r>
      <w:r w:rsidR="009961F5">
        <w:t xml:space="preserve"> </w:t>
      </w:r>
      <w:r w:rsidR="00E5648A">
        <w:t xml:space="preserve">this system failed as the sons were generally seen as unworthy successors. </w:t>
      </w:r>
    </w:p>
    <w:p w14:paraId="7776A80B" w14:textId="07F71D1B" w:rsidR="00E5648A" w:rsidRDefault="00945AEA" w:rsidP="00A847BF">
      <w:pPr>
        <w:pStyle w:val="ListParagraph"/>
        <w:numPr>
          <w:ilvl w:val="0"/>
          <w:numId w:val="17"/>
        </w:numPr>
      </w:pPr>
      <w:r>
        <w:t xml:space="preserve">The desire of the people to have </w:t>
      </w:r>
      <w:r w:rsidR="00F13AF2">
        <w:t>a national</w:t>
      </w:r>
      <w:r>
        <w:t xml:space="preserve">, rather </w:t>
      </w:r>
      <w:r w:rsidR="00F71E2E">
        <w:t xml:space="preserve">than </w:t>
      </w:r>
      <w:r>
        <w:t>local or regional, government. (8:4)</w:t>
      </w:r>
      <w:r w:rsidR="00D157F4">
        <w:t xml:space="preserve"> Samuel’s influence exceeded his own regional </w:t>
      </w:r>
      <w:r w:rsidR="005D70A6">
        <w:t>boundaries.</w:t>
      </w:r>
      <w:r w:rsidR="00477FED">
        <w:t xml:space="preserve"> This likely occurred </w:t>
      </w:r>
      <w:r w:rsidR="00A567C4">
        <w:t>because of the lack of qualified candidates in many locations</w:t>
      </w:r>
      <w:r w:rsidR="0085492E">
        <w:t>.</w:t>
      </w:r>
      <w:r w:rsidR="00A567C4">
        <w:t xml:space="preserve"> (8:</w:t>
      </w:r>
      <w:r w:rsidR="00B5723F">
        <w:t xml:space="preserve">2-3) </w:t>
      </w:r>
      <w:r w:rsidR="00F85BF2">
        <w:t>While t</w:t>
      </w:r>
      <w:r w:rsidR="00735AAF">
        <w:t>he Torah ideal was numerous simultaneous judges (Deut. 16:18)</w:t>
      </w:r>
      <w:r w:rsidR="000778BE">
        <w:t>,</w:t>
      </w:r>
      <w:r w:rsidR="00735AAF">
        <w:t xml:space="preserve"> </w:t>
      </w:r>
      <w:r w:rsidR="00F85BF2">
        <w:t xml:space="preserve">Samuel’s judgeship </w:t>
      </w:r>
      <w:r w:rsidR="00F71E2E">
        <w:t xml:space="preserve">prepared Israel for monarchy. </w:t>
      </w:r>
    </w:p>
    <w:p w14:paraId="479804C2" w14:textId="5104CDF5" w:rsidR="00F71E2E" w:rsidRDefault="00843DF7" w:rsidP="00A847BF">
      <w:pPr>
        <w:pStyle w:val="ListParagraph"/>
        <w:numPr>
          <w:ilvl w:val="0"/>
          <w:numId w:val="17"/>
        </w:numPr>
      </w:pPr>
      <w:r>
        <w:t xml:space="preserve">The perceived need for more human military leadership in armed conflicts against other nations. (8:20) </w:t>
      </w:r>
      <w:r w:rsidR="00B501E7">
        <w:t xml:space="preserve">Bergen states, “It is reasonable to assume that economic </w:t>
      </w:r>
      <w:r w:rsidR="00267D7D">
        <w:t>considerations</w:t>
      </w:r>
      <w:r w:rsidR="00B501E7">
        <w:t xml:space="preserve">, especially the desire of </w:t>
      </w:r>
      <w:r w:rsidR="00267D7D">
        <w:t>wealthy</w:t>
      </w:r>
      <w:r w:rsidR="00B501E7">
        <w:t xml:space="preserve"> Israelites to </w:t>
      </w:r>
      <w:r w:rsidR="00267D7D">
        <w:t>preserve</w:t>
      </w:r>
      <w:r w:rsidR="00B501E7">
        <w:t xml:space="preserve"> their wealth from foreign confiscation, played a</w:t>
      </w:r>
      <w:r w:rsidR="00267D7D">
        <w:t xml:space="preserve"> key role in the call for a strengthened military structure.”</w:t>
      </w:r>
      <w:r w:rsidR="00267D7D">
        <w:rPr>
          <w:rStyle w:val="FootnoteReference"/>
        </w:rPr>
        <w:footnoteReference w:id="38"/>
      </w:r>
    </w:p>
    <w:p w14:paraId="4D5AA3BD" w14:textId="17DC69AA" w:rsidR="0090419D" w:rsidRDefault="0076494C" w:rsidP="00A847BF">
      <w:pPr>
        <w:pStyle w:val="ListParagraph"/>
        <w:numPr>
          <w:ilvl w:val="0"/>
          <w:numId w:val="17"/>
        </w:numPr>
      </w:pPr>
      <w:r>
        <w:t xml:space="preserve">The people’s desire to have a form of </w:t>
      </w:r>
      <w:r w:rsidR="002C50A1">
        <w:t>national</w:t>
      </w:r>
      <w:r>
        <w:t xml:space="preserve"> </w:t>
      </w:r>
      <w:r w:rsidR="002C50A1">
        <w:t>government</w:t>
      </w:r>
      <w:r>
        <w:t xml:space="preserve"> that was “like the other nations.” (8:5, 20) </w:t>
      </w:r>
      <w:r w:rsidR="002C50A1">
        <w:t xml:space="preserve">The people longed for an earthly king instead of submitting to the leadership of the Lord Himself. </w:t>
      </w:r>
    </w:p>
    <w:p w14:paraId="7360097C" w14:textId="06534182" w:rsidR="002C50A1" w:rsidRDefault="00D21002" w:rsidP="00A847BF">
      <w:pPr>
        <w:pStyle w:val="ListParagraph"/>
        <w:numPr>
          <w:ilvl w:val="0"/>
          <w:numId w:val="17"/>
        </w:numPr>
      </w:pPr>
      <w:r>
        <w:t>Closely related to the fourth point, Israel had rejected God as their king. (8:7)</w:t>
      </w:r>
      <w:r>
        <w:rPr>
          <w:rStyle w:val="FootnoteReference"/>
        </w:rPr>
        <w:footnoteReference w:id="39"/>
      </w:r>
    </w:p>
    <w:p w14:paraId="671C5C49" w14:textId="5BEE6D12" w:rsidR="006655BF" w:rsidRPr="00CD3BB1" w:rsidRDefault="006655BF" w:rsidP="006655BF">
      <w:pPr>
        <w:rPr>
          <w:i/>
          <w:iCs/>
        </w:rPr>
      </w:pPr>
      <w:r w:rsidRPr="00CD3BB1">
        <w:rPr>
          <w:i/>
          <w:iCs/>
        </w:rPr>
        <w:lastRenderedPageBreak/>
        <w:t>1 Sam</w:t>
      </w:r>
      <w:r w:rsidR="006E2009">
        <w:rPr>
          <w:i/>
          <w:iCs/>
        </w:rPr>
        <w:t>.</w:t>
      </w:r>
      <w:r w:rsidRPr="00CD3BB1">
        <w:rPr>
          <w:i/>
          <w:iCs/>
        </w:rPr>
        <w:t xml:space="preserve"> 9</w:t>
      </w:r>
    </w:p>
    <w:p w14:paraId="3EF5949D" w14:textId="32697D88" w:rsidR="006655BF" w:rsidRPr="00AD1E8E" w:rsidRDefault="007D0739" w:rsidP="006655BF">
      <w:pPr>
        <w:rPr>
          <w:u w:val="single"/>
        </w:rPr>
      </w:pPr>
      <w:r w:rsidRPr="00AD1E8E">
        <w:rPr>
          <w:u w:val="single"/>
        </w:rPr>
        <w:t>Saul</w:t>
      </w:r>
    </w:p>
    <w:p w14:paraId="7B097129" w14:textId="6428C80F" w:rsidR="004C7CC8" w:rsidRDefault="007D0739" w:rsidP="006655BF">
      <w:r>
        <w:t xml:space="preserve">The first king of Israel, who reigned from </w:t>
      </w:r>
      <w:r w:rsidR="000F1666">
        <w:t>1020-1000 B</w:t>
      </w:r>
      <w:r w:rsidR="00EB4D55">
        <w:t>.</w:t>
      </w:r>
      <w:r w:rsidR="000F1666">
        <w:t xml:space="preserve">C. </w:t>
      </w:r>
      <w:r w:rsidR="003F0D88">
        <w:t>Saul’s name literally mean</w:t>
      </w:r>
      <w:r w:rsidR="00FD1F57">
        <w:t>t</w:t>
      </w:r>
      <w:r w:rsidR="003F0D88">
        <w:t xml:space="preserve"> “asked for.” </w:t>
      </w:r>
      <w:r w:rsidR="00C2306B" w:rsidRPr="00C2306B">
        <w:t xml:space="preserve">The Lord chose a man named Saul to be Israel’s first king, and Samuel anointed him as king. </w:t>
      </w:r>
      <w:r w:rsidR="004C7CC8">
        <w:rPr>
          <w:rStyle w:val="FootnoteReference"/>
        </w:rPr>
        <w:footnoteReference w:id="40"/>
      </w:r>
    </w:p>
    <w:p w14:paraId="1B2417CC" w14:textId="0B8FC26A" w:rsidR="007D0739" w:rsidRDefault="00C2306B" w:rsidP="006655BF">
      <w:r w:rsidRPr="00C2306B">
        <w:t>Saul was from the tribe of Benjamin. Externally</w:t>
      </w:r>
      <w:r w:rsidR="004023E9">
        <w:t>,</w:t>
      </w:r>
      <w:r w:rsidRPr="00C2306B">
        <w:t xml:space="preserve"> Saul looked like a king and would prove to be a competent military leader; however, time would reveal the evil of his heart. </w:t>
      </w:r>
      <w:r w:rsidR="004C7CC8">
        <w:t>The following three instances</w:t>
      </w:r>
      <w:r w:rsidR="00474FAB">
        <w:t xml:space="preserve"> </w:t>
      </w:r>
      <w:r w:rsidR="00DE1CA4">
        <w:t xml:space="preserve">display Saul’s </w:t>
      </w:r>
      <w:r w:rsidR="00FA2B59">
        <w:t>wickedness</w:t>
      </w:r>
      <w:r w:rsidR="0069546B">
        <w:t>:</w:t>
      </w:r>
    </w:p>
    <w:p w14:paraId="3939FF20" w14:textId="1DFC4FAF" w:rsidR="00FA2B59" w:rsidRDefault="00FA2B59" w:rsidP="006655BF">
      <w:r w:rsidRPr="00E465D4">
        <w:rPr>
          <w:u w:val="single"/>
        </w:rPr>
        <w:t>Instance #1</w:t>
      </w:r>
      <w:r w:rsidRPr="00FA2B59">
        <w:t xml:space="preserve"> Saul offered a sacrifice that priests were supposed to offer. Samuel told Saul to wait for him at Gilgal, but after seven days</w:t>
      </w:r>
      <w:r w:rsidR="00835C6A">
        <w:t>,</w:t>
      </w:r>
      <w:r w:rsidRPr="00FA2B59">
        <w:t xml:space="preserve"> Saul grew impatient and offered the sacrifice himself to boost his army’s morale. When Samuel arrived shortly thereafter, he told Saul that the Lord was going to take his kingdom from him and give it to another.</w:t>
      </w:r>
      <w:r w:rsidR="00E52140">
        <w:t xml:space="preserve"> (1 Sam</w:t>
      </w:r>
      <w:r w:rsidR="000A71D0">
        <w:t>.</w:t>
      </w:r>
      <w:r w:rsidR="00E52140">
        <w:t xml:space="preserve"> 13:8-14) </w:t>
      </w:r>
    </w:p>
    <w:p w14:paraId="0F9E113C" w14:textId="2BD7E740" w:rsidR="00FA2B59" w:rsidRDefault="00FA2B59" w:rsidP="006655BF">
      <w:r w:rsidRPr="00E465D4">
        <w:rPr>
          <w:u w:val="single"/>
        </w:rPr>
        <w:t>Instance #2</w:t>
      </w:r>
      <w:r w:rsidRPr="00FA2B59">
        <w:t xml:space="preserve"> Saul made a rash oath. He pronounced a curse on anyone who ate before Israel had won the battle. His own son Jonathan ate honey (unaware of the oath his father had made), and if not for the people, Saul w</w:t>
      </w:r>
      <w:r w:rsidR="000D483E">
        <w:t xml:space="preserve">ould have </w:t>
      </w:r>
      <w:r w:rsidRPr="00FA2B59">
        <w:t>kill</w:t>
      </w:r>
      <w:r w:rsidR="000D483E">
        <w:t xml:space="preserve">ed </w:t>
      </w:r>
      <w:r w:rsidRPr="00FA2B59">
        <w:t>Jonathan for breaking his ridiculous command.</w:t>
      </w:r>
      <w:r w:rsidR="00E52140">
        <w:t xml:space="preserve"> </w:t>
      </w:r>
      <w:r w:rsidR="00DC6A0C">
        <w:t>(1 Sam.</w:t>
      </w:r>
      <w:r w:rsidR="00460D49">
        <w:t xml:space="preserve"> 14:</w:t>
      </w:r>
      <w:r w:rsidR="00DC6A0C">
        <w:t xml:space="preserve"> </w:t>
      </w:r>
      <w:r w:rsidR="00DF0E8A">
        <w:t>24-46</w:t>
      </w:r>
      <w:r w:rsidR="009459BB">
        <w:t>)</w:t>
      </w:r>
    </w:p>
    <w:p w14:paraId="0B8950EC" w14:textId="52CD09EC" w:rsidR="00AD1E8E" w:rsidRDefault="00AD1E8E" w:rsidP="006655BF">
      <w:r w:rsidRPr="00E465D4">
        <w:rPr>
          <w:u w:val="single"/>
        </w:rPr>
        <w:t>Instance #3</w:t>
      </w:r>
      <w:r w:rsidRPr="00AD1E8E">
        <w:t xml:space="preserve"> Saul failed to follow God’s instructions concerning the Amalekites. Samuel told Saul that the Lord </w:t>
      </w:r>
      <w:r w:rsidR="008C2578" w:rsidRPr="00AD1E8E">
        <w:t>commanded</w:t>
      </w:r>
      <w:r w:rsidRPr="00AD1E8E">
        <w:t xml:space="preserve"> </w:t>
      </w:r>
      <w:r w:rsidR="008C2578">
        <w:t xml:space="preserve">that </w:t>
      </w:r>
      <w:r w:rsidRPr="00AD1E8E">
        <w:t xml:space="preserve">the Amalekites and </w:t>
      </w:r>
      <w:r w:rsidR="008C2578">
        <w:t>all</w:t>
      </w:r>
      <w:r w:rsidRPr="00AD1E8E">
        <w:t xml:space="preserve"> they had were to be destroyed. Saul spared the best of the herds and the flocks to sacrifice to the Lord. Because Saul chose to disobey God, God chose to remove the kingdom from him. The entire situation was sad and showed that Samuel’s warnings were true.</w:t>
      </w:r>
      <w:r w:rsidR="009459BB">
        <w:t xml:space="preserve"> (1 Sam. 15)</w:t>
      </w:r>
      <w:r w:rsidR="00FA0EA5">
        <w:rPr>
          <w:rStyle w:val="FootnoteReference"/>
        </w:rPr>
        <w:footnoteReference w:id="41"/>
      </w:r>
      <w:r w:rsidRPr="00AD1E8E">
        <w:t xml:space="preserve"> </w:t>
      </w:r>
    </w:p>
    <w:p w14:paraId="150C5D7F" w14:textId="64DB4598" w:rsidR="00ED1422" w:rsidRPr="00CD3BB1" w:rsidRDefault="00ED1422" w:rsidP="006655BF">
      <w:pPr>
        <w:rPr>
          <w:i/>
          <w:iCs/>
        </w:rPr>
      </w:pPr>
      <w:r w:rsidRPr="00CD3BB1">
        <w:rPr>
          <w:i/>
          <w:iCs/>
        </w:rPr>
        <w:t>1 Sam</w:t>
      </w:r>
      <w:r w:rsidR="006E2009">
        <w:rPr>
          <w:i/>
          <w:iCs/>
        </w:rPr>
        <w:t>.</w:t>
      </w:r>
      <w:r w:rsidRPr="00CD3BB1">
        <w:rPr>
          <w:i/>
          <w:iCs/>
        </w:rPr>
        <w:t xml:space="preserve"> 10</w:t>
      </w:r>
    </w:p>
    <w:p w14:paraId="7E402F98" w14:textId="42833B26" w:rsidR="00ED1422" w:rsidRPr="002C4FB2" w:rsidRDefault="00D65655" w:rsidP="006655BF">
      <w:pPr>
        <w:rPr>
          <w:u w:val="single"/>
        </w:rPr>
      </w:pPr>
      <w:r w:rsidRPr="002C4FB2">
        <w:rPr>
          <w:u w:val="single"/>
        </w:rPr>
        <w:t xml:space="preserve">Anointing </w:t>
      </w:r>
    </w:p>
    <w:p w14:paraId="5A24683E" w14:textId="6A62CF12" w:rsidR="007D29AE" w:rsidRDefault="007D29AE" w:rsidP="006655BF">
      <w:r>
        <w:t>T</w:t>
      </w:r>
      <w:r w:rsidR="00757684">
        <w:t>o</w:t>
      </w:r>
      <w:r>
        <w:t xml:space="preserve"> </w:t>
      </w:r>
      <w:r w:rsidRPr="00757684">
        <w:rPr>
          <w:i/>
          <w:iCs/>
        </w:rPr>
        <w:t>anoint</w:t>
      </w:r>
      <w:r>
        <w:t xml:space="preserve"> literally meant “to touch,</w:t>
      </w:r>
      <w:r w:rsidR="00757684">
        <w:t xml:space="preserve"> smear, or rub an object or person with oil.” </w:t>
      </w:r>
      <w:r w:rsidR="001833B1">
        <w:t xml:space="preserve">Scripture details many different types of anointing: </w:t>
      </w:r>
      <w:r w:rsidR="007A36F6">
        <w:t>anointing for</w:t>
      </w:r>
      <w:r w:rsidR="00623ED5">
        <w:t xml:space="preserve"> medical reasons (L</w:t>
      </w:r>
      <w:r w:rsidR="000F0A1C">
        <w:t>u</w:t>
      </w:r>
      <w:r w:rsidR="00623ED5">
        <w:t>k</w:t>
      </w:r>
      <w:r w:rsidR="000F0A1C">
        <w:t>e</w:t>
      </w:r>
      <w:r w:rsidR="00623ED5">
        <w:t xml:space="preserve"> </w:t>
      </w:r>
      <w:r w:rsidR="0034384E">
        <w:t>10:34), anointing of the dead for burial (M</w:t>
      </w:r>
      <w:r w:rsidR="000F0A1C">
        <w:t>ark</w:t>
      </w:r>
      <w:r w:rsidR="0034384E">
        <w:t xml:space="preserve"> 16:1), </w:t>
      </w:r>
      <w:r w:rsidR="007A36F6">
        <w:t>anointing of sacred objects (Ex</w:t>
      </w:r>
      <w:r w:rsidR="000F0A1C">
        <w:t>od.</w:t>
      </w:r>
      <w:r w:rsidR="007A36F6">
        <w:t xml:space="preserve"> </w:t>
      </w:r>
      <w:r w:rsidR="00CB5A04">
        <w:t xml:space="preserve">29:36; 30:22-29), and anointing of priests and kings. </w:t>
      </w:r>
      <w:r w:rsidR="00F50772">
        <w:t>(</w:t>
      </w:r>
      <w:r w:rsidR="00020667">
        <w:t>1 K</w:t>
      </w:r>
      <w:r w:rsidR="000F0A1C">
        <w:t>ings</w:t>
      </w:r>
      <w:r w:rsidR="00020667">
        <w:t xml:space="preserve"> 1:39</w:t>
      </w:r>
      <w:r w:rsidR="006A5607">
        <w:t>; Ex</w:t>
      </w:r>
      <w:r w:rsidR="00F50772">
        <w:t>od</w:t>
      </w:r>
      <w:r w:rsidR="006A5607">
        <w:t>. 29:4-7)</w:t>
      </w:r>
    </w:p>
    <w:p w14:paraId="6F54B21C" w14:textId="1275F2D0" w:rsidR="006A5607" w:rsidRDefault="006A5607" w:rsidP="006655BF">
      <w:r>
        <w:t xml:space="preserve">The rite of anointing kings, instead of the coronation of kings, </w:t>
      </w:r>
      <w:r w:rsidR="00C3788E">
        <w:t xml:space="preserve">was common throughout the ancient Near East. For example, the Arman letters </w:t>
      </w:r>
      <w:r w:rsidR="00EE598C">
        <w:t>discuss</w:t>
      </w:r>
      <w:r w:rsidR="000343B1">
        <w:t xml:space="preserve"> anointing as the right of kingship in Syria-Palestine in the fourteenth century B</w:t>
      </w:r>
      <w:r w:rsidR="00EB4D55">
        <w:t>.</w:t>
      </w:r>
      <w:r w:rsidR="000343B1">
        <w:t xml:space="preserve">C. </w:t>
      </w:r>
      <w:r w:rsidR="00023D1F">
        <w:t xml:space="preserve">In </w:t>
      </w:r>
      <w:r w:rsidR="00EE598C">
        <w:t>Israel, the anointing of kings symbolized their</w:t>
      </w:r>
      <w:r w:rsidR="00DD00F1">
        <w:t xml:space="preserve"> special relationship with God </w:t>
      </w:r>
      <w:r w:rsidR="00EE598C">
        <w:t>and</w:t>
      </w:r>
      <w:r w:rsidR="00DD00F1">
        <w:t xml:space="preserve"> was seen as the moment when the king would receive God’s own Spirit</w:t>
      </w:r>
      <w:r w:rsidR="00EE598C">
        <w:t>. This is one reason that David refused to “touch the Lord’s anointed.” (1 Sam. 24:6)</w:t>
      </w:r>
      <w:r w:rsidR="00842284">
        <w:rPr>
          <w:rStyle w:val="FootnoteReference"/>
        </w:rPr>
        <w:footnoteReference w:id="42"/>
      </w:r>
    </w:p>
    <w:p w14:paraId="0430D597" w14:textId="24624AAF" w:rsidR="004B4C78" w:rsidRDefault="002C4FB2" w:rsidP="006655BF">
      <w:r w:rsidRPr="00200EF0">
        <w:rPr>
          <w:u w:val="single"/>
        </w:rPr>
        <w:lastRenderedPageBreak/>
        <w:t>Gibeah</w:t>
      </w:r>
      <w:r w:rsidR="00200EF0">
        <w:t xml:space="preserve"> </w:t>
      </w:r>
    </w:p>
    <w:p w14:paraId="2BAA3E16" w14:textId="2E2C6E2C" w:rsidR="002C4FB2" w:rsidRDefault="00E43492" w:rsidP="006655BF">
      <w:r>
        <w:t>The Gibe</w:t>
      </w:r>
      <w:r w:rsidR="008A2CCB">
        <w:t xml:space="preserve">ah mentioned in this text </w:t>
      </w:r>
      <w:r w:rsidR="00E01FEE">
        <w:t xml:space="preserve">(v. 26) </w:t>
      </w:r>
      <w:r w:rsidR="008A2CCB">
        <w:t xml:space="preserve">is referred to as the Gibeah of </w:t>
      </w:r>
      <w:r w:rsidR="00373BD1">
        <w:t>Benjamin</w:t>
      </w:r>
      <w:r w:rsidR="008A2CCB">
        <w:t xml:space="preserve"> to differentiate it from two other locations named </w:t>
      </w:r>
      <w:r w:rsidR="00373BD1">
        <w:t>Gibeah</w:t>
      </w:r>
      <w:r w:rsidR="008A2CCB">
        <w:t xml:space="preserve"> in Scripture—Gibeah </w:t>
      </w:r>
      <w:r w:rsidR="00373BD1">
        <w:t>of Judah (Josh. 15:57) and Gibeah of Phinneas (Josh. 24:33)</w:t>
      </w:r>
      <w:r w:rsidR="00200EF0">
        <w:t xml:space="preserve">. </w:t>
      </w:r>
      <w:r w:rsidR="004F35CD">
        <w:t>In other places, the word Gibeah is simply rendered as “hill.” (i.e. Jud</w:t>
      </w:r>
      <w:r w:rsidR="0008524A">
        <w:t>g</w:t>
      </w:r>
      <w:r w:rsidR="004F35CD">
        <w:t xml:space="preserve">. 7:1; </w:t>
      </w:r>
      <w:r w:rsidR="004467FA">
        <w:t xml:space="preserve">Jer. 31:34; etc.) </w:t>
      </w:r>
      <w:r w:rsidR="00850EB4">
        <w:t xml:space="preserve">Notice the Gibeah mentioned in v. 5 is </w:t>
      </w:r>
      <w:r w:rsidR="000B1CF5">
        <w:t xml:space="preserve">translated </w:t>
      </w:r>
      <w:r w:rsidR="008F55B1">
        <w:t xml:space="preserve">as </w:t>
      </w:r>
      <w:r w:rsidR="000B1CF5">
        <w:t>the “hill of the Lord.” This location is distinct from Gibeah</w:t>
      </w:r>
      <w:r w:rsidR="008F55B1">
        <w:t>,</w:t>
      </w:r>
      <w:r w:rsidR="000B1CF5">
        <w:t xml:space="preserve"> mentioned later in the text, v. 26. </w:t>
      </w:r>
    </w:p>
    <w:p w14:paraId="4121D02B" w14:textId="2D93CE56" w:rsidR="00894AFE" w:rsidRDefault="004467FA" w:rsidP="006655BF">
      <w:r>
        <w:t xml:space="preserve">Gibeah of Benjamin </w:t>
      </w:r>
      <w:r w:rsidR="0026272C">
        <w:t xml:space="preserve">was Saul’s birthplace and his place of </w:t>
      </w:r>
      <w:r w:rsidR="00395ED2">
        <w:t>residence</w:t>
      </w:r>
      <w:r w:rsidR="0026272C">
        <w:t xml:space="preserve"> </w:t>
      </w:r>
      <w:r w:rsidR="000E52AB">
        <w:t xml:space="preserve">after he became king. His </w:t>
      </w:r>
      <w:r w:rsidR="00395ED2">
        <w:t>descendants</w:t>
      </w:r>
      <w:r w:rsidR="000E52AB">
        <w:t xml:space="preserve"> were hanged in this location</w:t>
      </w:r>
      <w:r w:rsidR="0071429D">
        <w:t>.</w:t>
      </w:r>
      <w:r w:rsidR="000E52AB">
        <w:t xml:space="preserve"> (2 Sam. 21:6</w:t>
      </w:r>
      <w:r w:rsidR="00395ED2">
        <w:t>) The modern archeological site Tell</w:t>
      </w:r>
      <w:r w:rsidR="00061820">
        <w:t xml:space="preserve"> el-Ful</w:t>
      </w:r>
      <w:r w:rsidR="000B1EC4">
        <w:t xml:space="preserve"> </w:t>
      </w:r>
      <w:r w:rsidR="008E698B">
        <w:t>reveals twelve levels of Israelite history</w:t>
      </w:r>
      <w:r w:rsidR="000B1EC4">
        <w:t xml:space="preserve"> at and around Gibeah of Bejamin</w:t>
      </w:r>
      <w:r w:rsidR="008E698B">
        <w:t>.</w:t>
      </w:r>
      <w:r w:rsidR="000B1EC4">
        <w:rPr>
          <w:rStyle w:val="FootnoteReference"/>
        </w:rPr>
        <w:footnoteReference w:id="43"/>
      </w:r>
    </w:p>
    <w:p w14:paraId="1F34A156" w14:textId="387023FF" w:rsidR="001B3588" w:rsidRPr="00894AFE" w:rsidRDefault="00C7588C" w:rsidP="006655BF">
      <w:pPr>
        <w:rPr>
          <w:u w:val="single"/>
        </w:rPr>
      </w:pPr>
      <w:r w:rsidRPr="00894AFE">
        <w:rPr>
          <w:u w:val="single"/>
        </w:rPr>
        <w:t>Mizpah</w:t>
      </w:r>
    </w:p>
    <w:p w14:paraId="3AE8C201" w14:textId="0D28D641" w:rsidR="003F5A53" w:rsidRDefault="003F5A53" w:rsidP="006655BF">
      <w:r>
        <w:t xml:space="preserve">The town was in the </w:t>
      </w:r>
      <w:r w:rsidR="00894AFE">
        <w:t>territory</w:t>
      </w:r>
      <w:r>
        <w:t xml:space="preserve"> of Benjamin (Josh. 18:28); however, the </w:t>
      </w:r>
      <w:r w:rsidR="0078614B">
        <w:t xml:space="preserve">exact </w:t>
      </w:r>
      <w:r>
        <w:t>location is uncertain</w:t>
      </w:r>
      <w:r w:rsidR="00740380">
        <w:t xml:space="preserve">. Some connect it to Tel en-Nasbeh (about 7.5 miles north of Jerusalem). </w:t>
      </w:r>
      <w:r w:rsidR="00107267">
        <w:t>Samuel gathered the people to pray at this location (1 Sam. 7:5-11)</w:t>
      </w:r>
      <w:r w:rsidR="001C046B">
        <w:t>,</w:t>
      </w:r>
      <w:r w:rsidR="00CD276F">
        <w:t xml:space="preserve"> and </w:t>
      </w:r>
      <w:r w:rsidR="001C046B">
        <w:t xml:space="preserve">it was </w:t>
      </w:r>
      <w:r w:rsidR="00894AFE">
        <w:t xml:space="preserve">the location where </w:t>
      </w:r>
      <w:r w:rsidR="00CD276F">
        <w:t xml:space="preserve">Saul was publicly chosen </w:t>
      </w:r>
      <w:r w:rsidR="00894AFE">
        <w:t>king</w:t>
      </w:r>
      <w:r w:rsidR="001C046B">
        <w:t>.</w:t>
      </w:r>
      <w:r w:rsidR="00894AFE">
        <w:t xml:space="preserve"> (1 Sam. 10:17-25)</w:t>
      </w:r>
      <w:r w:rsidR="00894AFE">
        <w:rPr>
          <w:rStyle w:val="FootnoteReference"/>
        </w:rPr>
        <w:footnoteReference w:id="44"/>
      </w:r>
    </w:p>
    <w:p w14:paraId="17D7F7BC" w14:textId="68CA75AF" w:rsidR="00087BBF" w:rsidRPr="00CD3BB1" w:rsidRDefault="00087BBF" w:rsidP="006655BF">
      <w:pPr>
        <w:rPr>
          <w:i/>
          <w:iCs/>
        </w:rPr>
      </w:pPr>
      <w:r w:rsidRPr="00CD3BB1">
        <w:rPr>
          <w:i/>
          <w:iCs/>
        </w:rPr>
        <w:t>1 Sam</w:t>
      </w:r>
      <w:r w:rsidR="006E2009">
        <w:rPr>
          <w:i/>
          <w:iCs/>
        </w:rPr>
        <w:t>.</w:t>
      </w:r>
      <w:r w:rsidRPr="00CD3BB1">
        <w:rPr>
          <w:i/>
          <w:iCs/>
        </w:rPr>
        <w:t xml:space="preserve"> 11 </w:t>
      </w:r>
    </w:p>
    <w:p w14:paraId="4D9A5FA5" w14:textId="098D1602" w:rsidR="00087BBF" w:rsidRPr="00D064DB" w:rsidRDefault="00771EDB" w:rsidP="006655BF">
      <w:pPr>
        <w:rPr>
          <w:u w:val="single"/>
        </w:rPr>
      </w:pPr>
      <w:r w:rsidRPr="00D064DB">
        <w:rPr>
          <w:u w:val="single"/>
        </w:rPr>
        <w:t xml:space="preserve">Ammonites </w:t>
      </w:r>
    </w:p>
    <w:p w14:paraId="4D21F0B9" w14:textId="670D2AFE" w:rsidR="002C4FB2" w:rsidRDefault="00375E17" w:rsidP="006655BF">
      <w:r>
        <w:t xml:space="preserve">While the origin of Ammon </w:t>
      </w:r>
      <w:r w:rsidR="00AF5B40">
        <w:t>is</w:t>
      </w:r>
      <w:r>
        <w:t xml:space="preserve"> obscure, Gen</w:t>
      </w:r>
      <w:r w:rsidR="00AF5B40">
        <w:t>esis</w:t>
      </w:r>
      <w:r>
        <w:t xml:space="preserve"> 19:30-38 connects the Ammonites to the incestuous union of Lot and his daughter. </w:t>
      </w:r>
      <w:r w:rsidR="00AB33E9">
        <w:t xml:space="preserve">Little </w:t>
      </w:r>
      <w:r w:rsidR="00207E75">
        <w:t>wa</w:t>
      </w:r>
      <w:r w:rsidR="00AB33E9">
        <w:t>s known about Ammon until the early Iron Age</w:t>
      </w:r>
      <w:r w:rsidR="00EB4D55">
        <w:t>.</w:t>
      </w:r>
      <w:r w:rsidR="00AB33E9">
        <w:t xml:space="preserve"> (</w:t>
      </w:r>
      <w:r w:rsidR="00CB0833">
        <w:t>1200-</w:t>
      </w:r>
      <w:r w:rsidR="00AB33E9">
        <w:t>1000 B</w:t>
      </w:r>
      <w:r w:rsidR="00EB4D55">
        <w:t>.</w:t>
      </w:r>
      <w:r w:rsidR="00AB33E9">
        <w:t>C</w:t>
      </w:r>
      <w:r w:rsidR="00EB4D55">
        <w:t>.</w:t>
      </w:r>
      <w:r w:rsidR="00AB33E9">
        <w:t>)</w:t>
      </w:r>
      <w:r w:rsidR="00CB0833">
        <w:t xml:space="preserve"> </w:t>
      </w:r>
      <w:r w:rsidR="002C3D95">
        <w:t>The literary and archeological evidence shows that a centralized state formed around the capital city of Rabbat-bene-Ammon</w:t>
      </w:r>
      <w:r w:rsidR="00F709BC">
        <w:t xml:space="preserve"> (Rabbah of the Sons of Ammon). The modern location is </w:t>
      </w:r>
      <w:r w:rsidR="00106A49">
        <w:t xml:space="preserve">Amman, Jordan. </w:t>
      </w:r>
    </w:p>
    <w:p w14:paraId="0F626810" w14:textId="5A408ED5" w:rsidR="00106A49" w:rsidRDefault="0022712F" w:rsidP="006655BF">
      <w:r>
        <w:t xml:space="preserve">The earliest </w:t>
      </w:r>
      <w:r w:rsidR="00532DD6">
        <w:t xml:space="preserve">recorded </w:t>
      </w:r>
      <w:r>
        <w:t>Ammonite king</w:t>
      </w:r>
      <w:r w:rsidR="00532DD6">
        <w:t xml:space="preserve"> was</w:t>
      </w:r>
      <w:r w:rsidR="00C27780">
        <w:t xml:space="preserve"> Nahash</w:t>
      </w:r>
      <w:r w:rsidR="00065C10">
        <w:t>,</w:t>
      </w:r>
      <w:r w:rsidR="00C27780">
        <w:t xml:space="preserve"> </w:t>
      </w:r>
      <w:r w:rsidR="00B557F7">
        <w:t xml:space="preserve">who </w:t>
      </w:r>
      <w:r w:rsidR="007E10AB">
        <w:t>besi</w:t>
      </w:r>
      <w:r w:rsidR="00480795">
        <w:t>eged</w:t>
      </w:r>
      <w:r w:rsidR="007E10AB">
        <w:t xml:space="preserve"> Jabesh-gilead</w:t>
      </w:r>
      <w:r w:rsidR="00480795">
        <w:t>. (1 Sam. 11</w:t>
      </w:r>
      <w:r w:rsidR="00A21FA4">
        <w:t>) His</w:t>
      </w:r>
      <w:r w:rsidR="006B126A">
        <w:t xml:space="preserve"> so</w:t>
      </w:r>
      <w:r w:rsidR="00095519">
        <w:t xml:space="preserve">n, Hanun, </w:t>
      </w:r>
      <w:r w:rsidR="00A40CC7">
        <w:t>lost to David</w:t>
      </w:r>
      <w:r w:rsidR="00065C10">
        <w:t>, and subsequently,</w:t>
      </w:r>
      <w:r w:rsidR="00A40CC7">
        <w:t xml:space="preserve"> the </w:t>
      </w:r>
      <w:r w:rsidR="00765A81">
        <w:t>Ammonites</w:t>
      </w:r>
      <w:r w:rsidR="00A40CC7">
        <w:t xml:space="preserve"> were incorporated into David’s empire as vassals. (2 Sam. </w:t>
      </w:r>
      <w:r w:rsidR="00765A81">
        <w:t xml:space="preserve">10; 12:26-31) </w:t>
      </w:r>
      <w:r w:rsidR="000E5C56">
        <w:t xml:space="preserve">Eventually, </w:t>
      </w:r>
      <w:r w:rsidR="00446DE2">
        <w:t xml:space="preserve">the Ammonites became an Assyrian vassal, </w:t>
      </w:r>
      <w:r w:rsidR="00F66486">
        <w:t xml:space="preserve">likely a Babylonian vassal, </w:t>
      </w:r>
      <w:r w:rsidR="00446DE2">
        <w:t xml:space="preserve">and later, </w:t>
      </w:r>
      <w:r w:rsidR="009976AE">
        <w:t>in the Persian period</w:t>
      </w:r>
      <w:r w:rsidR="00065C10">
        <w:t>,</w:t>
      </w:r>
      <w:r w:rsidR="009976AE">
        <w:t xml:space="preserve"> the name was attached to a geographical location, but little else is known </w:t>
      </w:r>
      <w:r w:rsidR="00F66486">
        <w:t>about what became of the Ammonites</w:t>
      </w:r>
      <w:r w:rsidR="0034495E">
        <w:t>.</w:t>
      </w:r>
      <w:r w:rsidR="0034495E">
        <w:rPr>
          <w:rStyle w:val="FootnoteReference"/>
        </w:rPr>
        <w:footnoteReference w:id="45"/>
      </w:r>
    </w:p>
    <w:p w14:paraId="7241DE6E" w14:textId="62864092" w:rsidR="002C4FB2" w:rsidRPr="00BC0FF8" w:rsidRDefault="009E2167" w:rsidP="006655BF">
      <w:pPr>
        <w:rPr>
          <w:u w:val="single"/>
        </w:rPr>
      </w:pPr>
      <w:r w:rsidRPr="00BC0FF8">
        <w:rPr>
          <w:u w:val="single"/>
        </w:rPr>
        <w:t>“</w:t>
      </w:r>
      <w:r w:rsidR="00BC0FF8" w:rsidRPr="00BC0FF8">
        <w:rPr>
          <w:u w:val="single"/>
        </w:rPr>
        <w:t>Gouge</w:t>
      </w:r>
      <w:r w:rsidRPr="00BC0FF8">
        <w:rPr>
          <w:u w:val="single"/>
        </w:rPr>
        <w:t xml:space="preserve"> out all your right eyes” </w:t>
      </w:r>
    </w:p>
    <w:p w14:paraId="5787605A" w14:textId="73B7BE84" w:rsidR="009E2167" w:rsidRDefault="005833B4" w:rsidP="006655BF">
      <w:r>
        <w:t>At the beginning of 1 Sam</w:t>
      </w:r>
      <w:r w:rsidR="004C5D64">
        <w:t>uel</w:t>
      </w:r>
      <w:r>
        <w:t xml:space="preserve"> 11, Nahash state</w:t>
      </w:r>
      <w:r w:rsidR="00F00A83">
        <w:t>d</w:t>
      </w:r>
      <w:r>
        <w:t xml:space="preserve"> that he w</w:t>
      </w:r>
      <w:r w:rsidR="00F00A83">
        <w:t>ould</w:t>
      </w:r>
      <w:r>
        <w:t xml:space="preserve"> only make a treaty with </w:t>
      </w:r>
      <w:r w:rsidR="00BC0FF8">
        <w:t>the Jabeshites if they “gouge out” their right eyes</w:t>
      </w:r>
      <w:r w:rsidR="005701C4">
        <w:t>.</w:t>
      </w:r>
      <w:r w:rsidR="0042408D">
        <w:t xml:space="preserve"> (1 Sam. 11:2)</w:t>
      </w:r>
      <w:r w:rsidR="005701C4">
        <w:t xml:space="preserve"> </w:t>
      </w:r>
      <w:r w:rsidR="00A21CC7">
        <w:t>Josephus sheds light on this</w:t>
      </w:r>
      <w:r w:rsidR="00C20E2F">
        <w:t>,</w:t>
      </w:r>
      <w:r w:rsidR="00A21CC7">
        <w:t xml:space="preserve"> stating that the left eye was covered by the shield; therefore, </w:t>
      </w:r>
      <w:r w:rsidR="00466BFC">
        <w:t>gouging the right eye made fighting impossible</w:t>
      </w:r>
      <w:r w:rsidR="000A3843">
        <w:t>. Furthermore</w:t>
      </w:r>
      <w:r w:rsidR="00933333">
        <w:t>, blindness</w:t>
      </w:r>
      <w:r w:rsidR="00CC4C56">
        <w:t xml:space="preserve"> brought reproach o</w:t>
      </w:r>
      <w:r w:rsidR="000A3843">
        <w:t>n the person/people</w:t>
      </w:r>
      <w:r w:rsidR="00B10B3E">
        <w:t xml:space="preserve">. Other examples of </w:t>
      </w:r>
      <w:r w:rsidR="00B10B3E">
        <w:lastRenderedPageBreak/>
        <w:t xml:space="preserve">this sort of eye gouging can be seen in </w:t>
      </w:r>
      <w:r w:rsidR="00933333">
        <w:t>Sampson’s</w:t>
      </w:r>
      <w:r w:rsidR="00B10B3E">
        <w:t xml:space="preserve"> narrative (Jud</w:t>
      </w:r>
      <w:r w:rsidR="005E2F2A">
        <w:t>g</w:t>
      </w:r>
      <w:r w:rsidR="00B10B3E">
        <w:t>. 16:21) and the story of Zedekiah’s blinding</w:t>
      </w:r>
      <w:r w:rsidR="00933333">
        <w:t xml:space="preserve"> by the Babylonians in 2 K</w:t>
      </w:r>
      <w:r w:rsidR="00160FB8">
        <w:t>ings</w:t>
      </w:r>
      <w:r w:rsidR="00933333">
        <w:t xml:space="preserve"> 25:7.</w:t>
      </w:r>
      <w:r w:rsidR="00933333">
        <w:rPr>
          <w:rStyle w:val="FootnoteReference"/>
        </w:rPr>
        <w:footnoteReference w:id="46"/>
      </w:r>
    </w:p>
    <w:p w14:paraId="712823BB" w14:textId="3A119A8F" w:rsidR="0042408D" w:rsidRPr="00E6011D" w:rsidRDefault="0056342A" w:rsidP="006655BF">
      <w:pPr>
        <w:rPr>
          <w:i/>
          <w:iCs/>
        </w:rPr>
      </w:pPr>
      <w:r w:rsidRPr="00E6011D">
        <w:rPr>
          <w:i/>
          <w:iCs/>
        </w:rPr>
        <w:t>1 Sam</w:t>
      </w:r>
      <w:r w:rsidR="006E2009">
        <w:rPr>
          <w:i/>
          <w:iCs/>
        </w:rPr>
        <w:t>.</w:t>
      </w:r>
      <w:r w:rsidRPr="00E6011D">
        <w:rPr>
          <w:i/>
          <w:iCs/>
        </w:rPr>
        <w:t xml:space="preserve"> 12</w:t>
      </w:r>
    </w:p>
    <w:p w14:paraId="7E0D5A81" w14:textId="1F8A1D62" w:rsidR="0056342A" w:rsidRPr="006F3CB9" w:rsidRDefault="0056342A" w:rsidP="006655BF">
      <w:pPr>
        <w:rPr>
          <w:u w:val="single"/>
        </w:rPr>
      </w:pPr>
      <w:r w:rsidRPr="006F3CB9">
        <w:rPr>
          <w:u w:val="single"/>
        </w:rPr>
        <w:t xml:space="preserve">Samuel’s </w:t>
      </w:r>
      <w:r w:rsidR="006F3CB9" w:rsidRPr="006F3CB9">
        <w:rPr>
          <w:u w:val="single"/>
        </w:rPr>
        <w:t>Address</w:t>
      </w:r>
    </w:p>
    <w:p w14:paraId="13E94429" w14:textId="27CD8064" w:rsidR="006F3CB9" w:rsidRDefault="00C86CCA" w:rsidP="006655BF">
      <w:r>
        <w:t xml:space="preserve">In this chapter, Samuel </w:t>
      </w:r>
      <w:r w:rsidR="00160FB8">
        <w:t>gave</w:t>
      </w:r>
      <w:r>
        <w:t xml:space="preserve"> an address to the Israelites. Sometimes</w:t>
      </w:r>
      <w:r w:rsidR="00BE5C6C">
        <w:t>, this chapter is referred to as “Samuel’s Farewell Address</w:t>
      </w:r>
      <w:r>
        <w:t xml:space="preserve">.” </w:t>
      </w:r>
      <w:r w:rsidR="005F5CAF">
        <w:t>T</w:t>
      </w:r>
      <w:r w:rsidR="00882D99">
        <w:t>o title</w:t>
      </w:r>
      <w:r w:rsidR="005F5CAF">
        <w:t xml:space="preserve"> the address as such is a misnomer because this was not Samuel’s final address to Israel; rather, th</w:t>
      </w:r>
      <w:r w:rsidR="00B8277E">
        <w:t xml:space="preserve">is address </w:t>
      </w:r>
      <w:r w:rsidR="00853B65">
        <w:t>ended</w:t>
      </w:r>
      <w:r w:rsidR="00E049BE">
        <w:t xml:space="preserve"> the age of the judges and officially beg</w:t>
      </w:r>
      <w:r w:rsidR="000C3886">
        <w:t>a</w:t>
      </w:r>
      <w:r w:rsidR="00E049BE">
        <w:t>n</w:t>
      </w:r>
      <w:r w:rsidR="000C3886">
        <w:t xml:space="preserve"> </w:t>
      </w:r>
      <w:r w:rsidR="00E049BE">
        <w:t>Israel’s monarchy. Samuel continue</w:t>
      </w:r>
      <w:r w:rsidR="000C3886">
        <w:t>d</w:t>
      </w:r>
      <w:r w:rsidR="00E049BE">
        <w:t xml:space="preserve"> as a prophet, even anointing the next king of Israel, David. (</w:t>
      </w:r>
      <w:r w:rsidR="00666987">
        <w:t>1 Sam. 16)</w:t>
      </w:r>
      <w:r w:rsidR="00666987">
        <w:rPr>
          <w:rStyle w:val="FootnoteReference"/>
        </w:rPr>
        <w:footnoteReference w:id="47"/>
      </w:r>
    </w:p>
    <w:p w14:paraId="633B052D" w14:textId="50632D93" w:rsidR="006F3CB9" w:rsidRPr="00E6011D" w:rsidRDefault="00666987" w:rsidP="006655BF">
      <w:pPr>
        <w:rPr>
          <w:i/>
          <w:iCs/>
        </w:rPr>
      </w:pPr>
      <w:r w:rsidRPr="00E6011D">
        <w:rPr>
          <w:i/>
          <w:iCs/>
        </w:rPr>
        <w:t>1 Sam</w:t>
      </w:r>
      <w:r w:rsidR="006E2009">
        <w:rPr>
          <w:i/>
          <w:iCs/>
        </w:rPr>
        <w:t>.</w:t>
      </w:r>
      <w:r w:rsidRPr="00E6011D">
        <w:rPr>
          <w:i/>
          <w:iCs/>
        </w:rPr>
        <w:t xml:space="preserve"> 13 </w:t>
      </w:r>
    </w:p>
    <w:p w14:paraId="18E6F836" w14:textId="4C52D9E8" w:rsidR="00F105F2" w:rsidRPr="00572803" w:rsidRDefault="00F105F2" w:rsidP="006655BF">
      <w:pPr>
        <w:rPr>
          <w:u w:val="single"/>
        </w:rPr>
      </w:pPr>
      <w:r w:rsidRPr="00572803">
        <w:rPr>
          <w:u w:val="single"/>
        </w:rPr>
        <w:t>Saul’s Unworthiness</w:t>
      </w:r>
    </w:p>
    <w:p w14:paraId="0A6F654F" w14:textId="30BE001F" w:rsidR="00F105F2" w:rsidRPr="00AD46C7" w:rsidRDefault="00C06940" w:rsidP="006655BF">
      <w:r>
        <w:t>The most important event in 1 Sam</w:t>
      </w:r>
      <w:r w:rsidR="00CE5956">
        <w:t>uel</w:t>
      </w:r>
      <w:r>
        <w:t xml:space="preserve"> 13 </w:t>
      </w:r>
      <w:r w:rsidR="00CE5956">
        <w:t>wa</w:t>
      </w:r>
      <w:r>
        <w:t>s when Saul offer</w:t>
      </w:r>
      <w:r w:rsidR="00CE5956">
        <w:t>ed</w:t>
      </w:r>
      <w:r>
        <w:t xml:space="preserve"> an unlawful sacrifice. (see </w:t>
      </w:r>
      <w:r w:rsidR="00AD46C7">
        <w:rPr>
          <w:u w:val="single"/>
        </w:rPr>
        <w:t>Saul</w:t>
      </w:r>
      <w:r w:rsidR="00AD46C7">
        <w:t xml:space="preserve"> </w:t>
      </w:r>
      <w:r w:rsidR="00CE5956">
        <w:t>under 1 Sam. 9</w:t>
      </w:r>
      <w:r w:rsidR="00AD46C7">
        <w:t>)</w:t>
      </w:r>
      <w:r w:rsidR="007A77F4">
        <w:t xml:space="preserve"> </w:t>
      </w:r>
      <w:r w:rsidR="000F3B7F">
        <w:t xml:space="preserve">“The result was a prophetic rebuke, in which Saul was informed that his dynasty would not endure; another man </w:t>
      </w:r>
      <w:r w:rsidR="00ED6DF0">
        <w:t>would be appointed to succeed him instead of his own son (13:13-14).”</w:t>
      </w:r>
      <w:r w:rsidR="00ED6DF0">
        <w:rPr>
          <w:rStyle w:val="FootnoteReference"/>
        </w:rPr>
        <w:footnoteReference w:id="48"/>
      </w:r>
      <w:r w:rsidR="00AD46C7">
        <w:t xml:space="preserve"> </w:t>
      </w:r>
    </w:p>
    <w:p w14:paraId="7D25E872" w14:textId="12BE4659" w:rsidR="00B420AD" w:rsidRPr="00C67226" w:rsidRDefault="0031265E" w:rsidP="006655BF">
      <w:pPr>
        <w:rPr>
          <w:u w:val="single"/>
        </w:rPr>
      </w:pPr>
      <w:r w:rsidRPr="00C67226">
        <w:rPr>
          <w:u w:val="single"/>
        </w:rPr>
        <w:t>Mi</w:t>
      </w:r>
      <w:r w:rsidR="00747EFD" w:rsidRPr="00C67226">
        <w:rPr>
          <w:u w:val="single"/>
        </w:rPr>
        <w:t>chmash</w:t>
      </w:r>
    </w:p>
    <w:p w14:paraId="073D93AD" w14:textId="0C6ED113" w:rsidR="00ED7702" w:rsidRDefault="00ED7702" w:rsidP="006655BF">
      <w:r>
        <w:t>The town</w:t>
      </w:r>
      <w:r w:rsidR="00853B65">
        <w:t xml:space="preserve"> of the tribe of Benjamin</w:t>
      </w:r>
      <w:r>
        <w:t xml:space="preserve"> </w:t>
      </w:r>
      <w:r w:rsidR="001D6D95">
        <w:t xml:space="preserve">was located about seven miles </w:t>
      </w:r>
      <w:r w:rsidR="00B60D83">
        <w:t>northeast</w:t>
      </w:r>
      <w:r w:rsidR="001D6D95">
        <w:t xml:space="preserve"> of Jerusalem. </w:t>
      </w:r>
      <w:r w:rsidR="00377D69">
        <w:t>In 1 Sam</w:t>
      </w:r>
      <w:r w:rsidR="00B60D83">
        <w:t>uel</w:t>
      </w:r>
      <w:r w:rsidR="00377D69">
        <w:t xml:space="preserve"> 14, God g</w:t>
      </w:r>
      <w:r w:rsidR="00B60D83">
        <w:t>ave</w:t>
      </w:r>
      <w:r w:rsidR="00377D69">
        <w:t xml:space="preserve"> Jonathan a great victory at Michmash</w:t>
      </w:r>
      <w:r w:rsidR="00087791">
        <w:t xml:space="preserve">. (1 Sam. 14:1-14) </w:t>
      </w:r>
      <w:r w:rsidR="008E574A">
        <w:t>Exiles</w:t>
      </w:r>
      <w:r w:rsidR="006226B7">
        <w:t xml:space="preserve"> returning from Babylon resettle at Michmash, according to Neh</w:t>
      </w:r>
      <w:r w:rsidR="00B60D83">
        <w:t>emiah</w:t>
      </w:r>
      <w:r w:rsidR="008E574A">
        <w:t xml:space="preserve"> 7:31; 11:31. The </w:t>
      </w:r>
      <w:r w:rsidR="00230F0F">
        <w:t>city is associated with the ruined village Muk</w:t>
      </w:r>
      <w:r w:rsidR="0092541F">
        <w:t>h</w:t>
      </w:r>
      <w:r w:rsidR="00230F0F">
        <w:t xml:space="preserve">mas, located </w:t>
      </w:r>
      <w:r w:rsidR="0092541F">
        <w:t>on</w:t>
      </w:r>
      <w:r w:rsidR="00230F0F">
        <w:t xml:space="preserve"> the northern </w:t>
      </w:r>
      <w:r w:rsidR="0092541F">
        <w:t>ridge</w:t>
      </w:r>
      <w:r w:rsidR="00230F0F">
        <w:t xml:space="preserve"> of the Wadi </w:t>
      </w:r>
      <w:r w:rsidR="0092541F">
        <w:t>Suweinit.</w:t>
      </w:r>
      <w:r w:rsidR="00C67226">
        <w:rPr>
          <w:rStyle w:val="FootnoteReference"/>
        </w:rPr>
        <w:footnoteReference w:id="49"/>
      </w:r>
    </w:p>
    <w:p w14:paraId="526D0B77" w14:textId="0E47A24D" w:rsidR="00747EFD" w:rsidRPr="00E6011D" w:rsidRDefault="0045353D" w:rsidP="006655BF">
      <w:pPr>
        <w:rPr>
          <w:i/>
          <w:iCs/>
        </w:rPr>
      </w:pPr>
      <w:r w:rsidRPr="00E6011D">
        <w:rPr>
          <w:i/>
          <w:iCs/>
        </w:rPr>
        <w:t>1 Sam</w:t>
      </w:r>
      <w:r w:rsidR="006E2009">
        <w:rPr>
          <w:i/>
          <w:iCs/>
        </w:rPr>
        <w:t>.</w:t>
      </w:r>
      <w:r w:rsidRPr="00E6011D">
        <w:rPr>
          <w:i/>
          <w:iCs/>
        </w:rPr>
        <w:t xml:space="preserve"> 14</w:t>
      </w:r>
    </w:p>
    <w:p w14:paraId="75D16AAE" w14:textId="77777777" w:rsidR="00B36871" w:rsidRPr="00572803" w:rsidRDefault="00B36871" w:rsidP="00B36871">
      <w:pPr>
        <w:rPr>
          <w:u w:val="single"/>
        </w:rPr>
      </w:pPr>
      <w:r w:rsidRPr="00572803">
        <w:rPr>
          <w:u w:val="single"/>
        </w:rPr>
        <w:t>Saul’s Unworthiness</w:t>
      </w:r>
    </w:p>
    <w:p w14:paraId="4B7787B4" w14:textId="05A17954" w:rsidR="00B36871" w:rsidRPr="00B36871" w:rsidRDefault="00B36871" w:rsidP="006655BF">
      <w:r>
        <w:t xml:space="preserve">See </w:t>
      </w:r>
      <w:r w:rsidRPr="001F2E81">
        <w:rPr>
          <w:u w:val="single"/>
        </w:rPr>
        <w:t>Instance</w:t>
      </w:r>
      <w:r w:rsidR="00B60D83" w:rsidRPr="001F2E81">
        <w:rPr>
          <w:u w:val="single"/>
        </w:rPr>
        <w:t xml:space="preserve"> # 2</w:t>
      </w:r>
      <w:r>
        <w:t xml:space="preserve"> </w:t>
      </w:r>
      <w:r w:rsidR="00B60D83">
        <w:t>under</w:t>
      </w:r>
      <w:r>
        <w:t xml:space="preserve"> </w:t>
      </w:r>
      <w:r w:rsidR="00E6011D">
        <w:t>1 Sam</w:t>
      </w:r>
      <w:r w:rsidR="002230EA">
        <w:t>.</w:t>
      </w:r>
      <w:r w:rsidR="00E6011D">
        <w:t xml:space="preserve"> 9. </w:t>
      </w:r>
      <w:r>
        <w:t xml:space="preserve"> </w:t>
      </w:r>
    </w:p>
    <w:p w14:paraId="0271A95C" w14:textId="750E9503" w:rsidR="00666987" w:rsidRPr="009C4B93" w:rsidRDefault="003E64FF" w:rsidP="006655BF">
      <w:pPr>
        <w:rPr>
          <w:u w:val="single"/>
        </w:rPr>
      </w:pPr>
      <w:r w:rsidRPr="009C4B93">
        <w:rPr>
          <w:u w:val="single"/>
        </w:rPr>
        <w:t>Jonathan</w:t>
      </w:r>
      <w:r w:rsidR="004A457C" w:rsidRPr="009C4B93">
        <w:rPr>
          <w:u w:val="single"/>
        </w:rPr>
        <w:t xml:space="preserve"> </w:t>
      </w:r>
    </w:p>
    <w:p w14:paraId="7C5CCB45" w14:textId="12577CFA" w:rsidR="00B36871" w:rsidRDefault="00E60FBD" w:rsidP="006655BF">
      <w:r>
        <w:t>Jonathan was the elder son of King Saul and Ahinoam</w:t>
      </w:r>
      <w:r w:rsidR="000E61AB">
        <w:t>.</w:t>
      </w:r>
      <w:r>
        <w:t xml:space="preserve"> (1 Sa</w:t>
      </w:r>
      <w:r w:rsidR="008409A1">
        <w:t>m</w:t>
      </w:r>
      <w:r>
        <w:t xml:space="preserve">. 14:49-50) </w:t>
      </w:r>
      <w:r w:rsidR="005E2531">
        <w:t xml:space="preserve">He possessed great bravery and won an exceptional battle at Michmash. </w:t>
      </w:r>
      <w:r w:rsidR="00967E9C">
        <w:t>In 1 Sa</w:t>
      </w:r>
      <w:r w:rsidR="008409A1">
        <w:t>m</w:t>
      </w:r>
      <w:r w:rsidR="000E61AB">
        <w:t>uel</w:t>
      </w:r>
      <w:r w:rsidR="00967E9C">
        <w:t xml:space="preserve"> 18-23, </w:t>
      </w:r>
      <w:r w:rsidR="00D3739F">
        <w:t xml:space="preserve">the author discussed </w:t>
      </w:r>
      <w:r w:rsidR="00967E9C">
        <w:lastRenderedPageBreak/>
        <w:t>Jonathan</w:t>
      </w:r>
      <w:r w:rsidR="008409A1">
        <w:t xml:space="preserve">’s close friendship with David. </w:t>
      </w:r>
      <w:r w:rsidR="002B4216">
        <w:t>He, along with Sa</w:t>
      </w:r>
      <w:r w:rsidR="001C3929">
        <w:t>u</w:t>
      </w:r>
      <w:r w:rsidR="002B4216">
        <w:t xml:space="preserve">l and his two brothers, were slain by the Philistines at </w:t>
      </w:r>
      <w:r w:rsidR="00D3739F">
        <w:t>Gilboa</w:t>
      </w:r>
      <w:r w:rsidR="002B4216">
        <w:t xml:space="preserve">. </w:t>
      </w:r>
      <w:r w:rsidR="009C4B93">
        <w:t xml:space="preserve">Later, King David showed favor to </w:t>
      </w:r>
      <w:r w:rsidR="00ED7116">
        <w:t>Jonathan’s son</w:t>
      </w:r>
      <w:r w:rsidR="00853B65">
        <w:t>,</w:t>
      </w:r>
      <w:r w:rsidR="00ED7116">
        <w:t xml:space="preserve"> Mephibosheth</w:t>
      </w:r>
      <w:r w:rsidR="009C4B93">
        <w:t>.</w:t>
      </w:r>
      <w:r w:rsidR="009C4B93">
        <w:rPr>
          <w:rStyle w:val="FootnoteReference"/>
        </w:rPr>
        <w:footnoteReference w:id="50"/>
      </w:r>
    </w:p>
    <w:p w14:paraId="27B863B6" w14:textId="06FC77E1" w:rsidR="00DB6CD6" w:rsidRPr="00DB0F8F" w:rsidRDefault="00B702B5" w:rsidP="006655BF">
      <w:pPr>
        <w:rPr>
          <w:u w:val="single"/>
        </w:rPr>
      </w:pPr>
      <w:r w:rsidRPr="00DB0F8F">
        <w:rPr>
          <w:u w:val="single"/>
        </w:rPr>
        <w:t>Urim and Thummi</w:t>
      </w:r>
      <w:r w:rsidR="00465C64" w:rsidRPr="00DB0F8F">
        <w:rPr>
          <w:u w:val="single"/>
        </w:rPr>
        <w:t>m</w:t>
      </w:r>
    </w:p>
    <w:p w14:paraId="5F48149E" w14:textId="0DDB10BD" w:rsidR="00F26616" w:rsidRDefault="00453CC2" w:rsidP="006655BF">
      <w:r>
        <w:t>First</w:t>
      </w:r>
      <w:r w:rsidR="00DB0F8F">
        <w:t xml:space="preserve"> Sam</w:t>
      </w:r>
      <w:r w:rsidR="00E6011D">
        <w:t>uel</w:t>
      </w:r>
      <w:r w:rsidR="00DB0F8F">
        <w:t xml:space="preserve"> 14:41-42</w:t>
      </w:r>
      <w:r w:rsidR="00465C64">
        <w:t xml:space="preserve"> mention</w:t>
      </w:r>
      <w:r w:rsidR="004E5AD6">
        <w:t>ed</w:t>
      </w:r>
      <w:r w:rsidR="00465C64">
        <w:t xml:space="preserve"> the </w:t>
      </w:r>
      <w:r w:rsidR="00160921">
        <w:t xml:space="preserve">Urim and Thummim. </w:t>
      </w:r>
      <w:r w:rsidR="00F16423">
        <w:t xml:space="preserve">They were a form of lot-casting </w:t>
      </w:r>
      <w:r w:rsidR="004E5AD6">
        <w:t>in</w:t>
      </w:r>
      <w:r w:rsidR="00F16423">
        <w:t xml:space="preserve"> early Israel, which seem to have ceased to be used after David’s time. </w:t>
      </w:r>
      <w:r w:rsidR="00F567BB">
        <w:t xml:space="preserve">They </w:t>
      </w:r>
      <w:r w:rsidR="004E5AD6">
        <w:t>were</w:t>
      </w:r>
      <w:r w:rsidR="00F567BB">
        <w:t xml:space="preserve"> mentioned in Ex</w:t>
      </w:r>
      <w:r w:rsidR="004E5AD6">
        <w:t>od</w:t>
      </w:r>
      <w:r w:rsidR="002E6238">
        <w:t>us</w:t>
      </w:r>
      <w:r w:rsidR="00F567BB">
        <w:t xml:space="preserve"> 28:30; Num</w:t>
      </w:r>
      <w:r w:rsidR="002E6238">
        <w:t>bers</w:t>
      </w:r>
      <w:r w:rsidR="00F567BB">
        <w:t xml:space="preserve"> 27:21; Deut</w:t>
      </w:r>
      <w:r w:rsidR="002E6238">
        <w:t>eronomy</w:t>
      </w:r>
      <w:r w:rsidR="00F567BB">
        <w:t xml:space="preserve"> 33:8; etc. </w:t>
      </w:r>
    </w:p>
    <w:p w14:paraId="091BEFD1" w14:textId="03339962" w:rsidR="00465C64" w:rsidRDefault="00D62364" w:rsidP="006655BF">
      <w:r>
        <w:t>The only description of how these lots were used is found in 1 Sam</w:t>
      </w:r>
      <w:r w:rsidR="003B2126">
        <w:t>uel</w:t>
      </w:r>
      <w:r>
        <w:t xml:space="preserve"> 14. That being said, </w:t>
      </w:r>
      <w:r w:rsidR="00A43638">
        <w:t xml:space="preserve">their precise use is still debated. Perhaps Urim meant “accursed, condemned,” while Thummim meant </w:t>
      </w:r>
      <w:r w:rsidR="00025678">
        <w:t>“pronounced whole, acquitted.”</w:t>
      </w:r>
      <w:r w:rsidR="00F26616">
        <w:rPr>
          <w:rStyle w:val="FootnoteReference"/>
        </w:rPr>
        <w:footnoteReference w:id="51"/>
      </w:r>
      <w:r w:rsidR="00025678">
        <w:t xml:space="preserve"> Or perhaps the fact th</w:t>
      </w:r>
      <w:r w:rsidR="00F26616">
        <w:t>at</w:t>
      </w:r>
      <w:r w:rsidR="00025678">
        <w:t xml:space="preserve"> Urim starts with the first letter in the Hebrew alphabet and Th</w:t>
      </w:r>
      <w:r w:rsidR="00F26616">
        <w:t xml:space="preserve">ummim with the last is somehow significant. </w:t>
      </w:r>
      <w:r w:rsidR="00612295">
        <w:t>What we do know is tha</w:t>
      </w:r>
      <w:r w:rsidR="00876729">
        <w:t>t</w:t>
      </w:r>
      <w:r w:rsidR="00612295">
        <w:t xml:space="preserve"> the casting of these lots was seen</w:t>
      </w:r>
      <w:r w:rsidR="00120936">
        <w:t xml:space="preserve"> </w:t>
      </w:r>
      <w:r w:rsidR="00876729">
        <w:t>a</w:t>
      </w:r>
      <w:r w:rsidR="00120936">
        <w:t>s the way the LORD Himself disclosed His verdict.</w:t>
      </w:r>
      <w:r w:rsidR="00120936">
        <w:rPr>
          <w:rStyle w:val="FootnoteReference"/>
        </w:rPr>
        <w:footnoteReference w:id="52"/>
      </w:r>
    </w:p>
    <w:p w14:paraId="1B2A4774" w14:textId="07D84123" w:rsidR="00DB6CD6" w:rsidRPr="00E6011D" w:rsidRDefault="0099747E" w:rsidP="006655BF">
      <w:pPr>
        <w:rPr>
          <w:i/>
          <w:iCs/>
        </w:rPr>
      </w:pPr>
      <w:r w:rsidRPr="00E6011D">
        <w:rPr>
          <w:i/>
          <w:iCs/>
        </w:rPr>
        <w:t>1 Sam</w:t>
      </w:r>
      <w:r w:rsidR="006E2009">
        <w:rPr>
          <w:i/>
          <w:iCs/>
        </w:rPr>
        <w:t>.</w:t>
      </w:r>
      <w:r w:rsidRPr="00E6011D">
        <w:rPr>
          <w:i/>
          <w:iCs/>
        </w:rPr>
        <w:t xml:space="preserve"> 15 </w:t>
      </w:r>
    </w:p>
    <w:p w14:paraId="7B732B75" w14:textId="77777777" w:rsidR="009D30A9" w:rsidRPr="00572803" w:rsidRDefault="009D30A9" w:rsidP="009D30A9">
      <w:pPr>
        <w:rPr>
          <w:u w:val="single"/>
        </w:rPr>
      </w:pPr>
      <w:r w:rsidRPr="00572803">
        <w:rPr>
          <w:u w:val="single"/>
        </w:rPr>
        <w:t>Saul’s Unworthiness</w:t>
      </w:r>
    </w:p>
    <w:p w14:paraId="0C571DA9" w14:textId="0F13CCB8" w:rsidR="009D30A9" w:rsidRDefault="009D30A9" w:rsidP="009D30A9">
      <w:r>
        <w:t xml:space="preserve">See </w:t>
      </w:r>
      <w:r w:rsidRPr="001F2E81">
        <w:rPr>
          <w:u w:val="single"/>
        </w:rPr>
        <w:t>Instance</w:t>
      </w:r>
      <w:r w:rsidR="001F2E81" w:rsidRPr="001F2E81">
        <w:rPr>
          <w:u w:val="single"/>
        </w:rPr>
        <w:t xml:space="preserve"> #3</w:t>
      </w:r>
      <w:r>
        <w:t xml:space="preserve"> </w:t>
      </w:r>
      <w:r w:rsidR="001F2E81">
        <w:t>under</w:t>
      </w:r>
      <w:r>
        <w:t xml:space="preserve"> </w:t>
      </w:r>
      <w:r w:rsidR="00E6011D">
        <w:t>1 Sam</w:t>
      </w:r>
      <w:r w:rsidR="001F2E81">
        <w:t>.</w:t>
      </w:r>
      <w:r w:rsidR="00E6011D">
        <w:t xml:space="preserve"> 9. </w:t>
      </w:r>
      <w:r>
        <w:t xml:space="preserve"> </w:t>
      </w:r>
    </w:p>
    <w:p w14:paraId="6EBF8915" w14:textId="2D02A8DC" w:rsidR="009D30A9" w:rsidRDefault="009D30A9" w:rsidP="009D30A9">
      <w:pPr>
        <w:rPr>
          <w:u w:val="single"/>
        </w:rPr>
      </w:pPr>
      <w:r w:rsidRPr="009D30A9">
        <w:rPr>
          <w:u w:val="single"/>
        </w:rPr>
        <w:t xml:space="preserve">Amalekites </w:t>
      </w:r>
    </w:p>
    <w:p w14:paraId="6A9A1A8A" w14:textId="4D6B62C0" w:rsidR="009D30A9" w:rsidRPr="00B36871" w:rsidRDefault="003E323D" w:rsidP="009D30A9">
      <w:r>
        <w:t>This nomadic tribe</w:t>
      </w:r>
      <w:r w:rsidR="00CB7920">
        <w:t xml:space="preserve">’s lineage goes back to Eliphaz, a son of Esau. (Gen. 36:12) </w:t>
      </w:r>
      <w:r w:rsidR="000300AE">
        <w:t xml:space="preserve">The Amalekites </w:t>
      </w:r>
      <w:r w:rsidR="00B46466">
        <w:t xml:space="preserve">show up several times in the Old Testament. For example, they </w:t>
      </w:r>
      <w:r w:rsidR="007B60B1">
        <w:t>attac</w:t>
      </w:r>
      <w:r w:rsidR="00B762AB">
        <w:t>k</w:t>
      </w:r>
      <w:r w:rsidR="007B60B1">
        <w:t xml:space="preserve">ed </w:t>
      </w:r>
      <w:r w:rsidR="00B46466">
        <w:t>Israel</w:t>
      </w:r>
      <w:r w:rsidR="007B60B1">
        <w:t xml:space="preserve"> after the Exodus (Ex</w:t>
      </w:r>
      <w:r w:rsidR="00B762AB">
        <w:t>od</w:t>
      </w:r>
      <w:r w:rsidR="007B60B1">
        <w:t>. 17:8-16)</w:t>
      </w:r>
      <w:r w:rsidR="00B46466">
        <w:t>. In 1 Sam</w:t>
      </w:r>
      <w:r w:rsidR="00066271">
        <w:t xml:space="preserve">uel </w:t>
      </w:r>
      <w:r w:rsidR="00B46466">
        <w:t>15, Saul disobey</w:t>
      </w:r>
      <w:r w:rsidR="00066271">
        <w:t>ed</w:t>
      </w:r>
      <w:r w:rsidR="00B46466">
        <w:t xml:space="preserve"> God</w:t>
      </w:r>
      <w:r w:rsidR="007C20C7">
        <w:t>’s</w:t>
      </w:r>
      <w:r w:rsidR="00B46466">
        <w:t xml:space="preserve"> commandment to </w:t>
      </w:r>
      <w:r w:rsidR="006910B4">
        <w:t xml:space="preserve">exterminate the tribe (1 Sam. 15:2-3). The Amalekites were not fully destroyed until the </w:t>
      </w:r>
      <w:r w:rsidR="002971A3">
        <w:t>8</w:t>
      </w:r>
      <w:r w:rsidR="002971A3" w:rsidRPr="002971A3">
        <w:rPr>
          <w:vertAlign w:val="superscript"/>
        </w:rPr>
        <w:t>th</w:t>
      </w:r>
      <w:r w:rsidR="002971A3">
        <w:t xml:space="preserve"> century B</w:t>
      </w:r>
      <w:r w:rsidR="005701C4">
        <w:t>.</w:t>
      </w:r>
      <w:r w:rsidR="002971A3">
        <w:t>C</w:t>
      </w:r>
      <w:r w:rsidR="005701C4">
        <w:t>.</w:t>
      </w:r>
      <w:r w:rsidR="002971A3">
        <w:t xml:space="preserve"> (1 Chron. 4:43)</w:t>
      </w:r>
      <w:r w:rsidR="002971A3">
        <w:rPr>
          <w:rStyle w:val="FootnoteReference"/>
        </w:rPr>
        <w:footnoteReference w:id="53"/>
      </w:r>
    </w:p>
    <w:p w14:paraId="48AB9053" w14:textId="6D2A1B7E" w:rsidR="0099747E" w:rsidRPr="00E6011D" w:rsidRDefault="00A8159E" w:rsidP="006655BF">
      <w:pPr>
        <w:rPr>
          <w:i/>
          <w:iCs/>
        </w:rPr>
      </w:pPr>
      <w:r w:rsidRPr="00E6011D">
        <w:rPr>
          <w:i/>
          <w:iCs/>
        </w:rPr>
        <w:t>1 Sam</w:t>
      </w:r>
      <w:r w:rsidR="006E2009">
        <w:rPr>
          <w:i/>
          <w:iCs/>
        </w:rPr>
        <w:t>.</w:t>
      </w:r>
      <w:r w:rsidRPr="00E6011D">
        <w:rPr>
          <w:i/>
          <w:iCs/>
        </w:rPr>
        <w:t xml:space="preserve"> 16</w:t>
      </w:r>
    </w:p>
    <w:p w14:paraId="296DEDCB" w14:textId="2C0BDCFF" w:rsidR="008079A7" w:rsidRPr="002904E2" w:rsidRDefault="002904E2" w:rsidP="006655BF">
      <w:pPr>
        <w:rPr>
          <w:u w:val="single"/>
        </w:rPr>
      </w:pPr>
      <w:r w:rsidRPr="002904E2">
        <w:rPr>
          <w:u w:val="single"/>
        </w:rPr>
        <w:t>The Fall of Saul and the Rise of David</w:t>
      </w:r>
      <w:r w:rsidR="009C2D3D">
        <w:rPr>
          <w:rStyle w:val="FootnoteReference"/>
          <w:u w:val="single"/>
        </w:rPr>
        <w:footnoteReference w:id="54"/>
      </w:r>
    </w:p>
    <w:tbl>
      <w:tblPr>
        <w:tblStyle w:val="TableGrid"/>
        <w:tblW w:w="0" w:type="auto"/>
        <w:tblLook w:val="04A0" w:firstRow="1" w:lastRow="0" w:firstColumn="1" w:lastColumn="0" w:noHBand="0" w:noVBand="1"/>
      </w:tblPr>
      <w:tblGrid>
        <w:gridCol w:w="4675"/>
        <w:gridCol w:w="4675"/>
      </w:tblGrid>
      <w:tr w:rsidR="002904E2" w14:paraId="385B5C42" w14:textId="77777777" w:rsidTr="002904E2">
        <w:tc>
          <w:tcPr>
            <w:tcW w:w="4675" w:type="dxa"/>
          </w:tcPr>
          <w:p w14:paraId="433D468B" w14:textId="120F0322" w:rsidR="002904E2" w:rsidRPr="009C2D3D" w:rsidRDefault="002904E2" w:rsidP="006655BF">
            <w:pPr>
              <w:rPr>
                <w:b/>
                <w:bCs/>
              </w:rPr>
            </w:pPr>
            <w:r w:rsidRPr="009C2D3D">
              <w:rPr>
                <w:b/>
                <w:bCs/>
              </w:rPr>
              <w:t>Saul</w:t>
            </w:r>
          </w:p>
        </w:tc>
        <w:tc>
          <w:tcPr>
            <w:tcW w:w="4675" w:type="dxa"/>
          </w:tcPr>
          <w:p w14:paraId="20C81F09" w14:textId="5FB54BA5" w:rsidR="002904E2" w:rsidRPr="009C2D3D" w:rsidRDefault="002904E2" w:rsidP="006655BF">
            <w:pPr>
              <w:rPr>
                <w:b/>
                <w:bCs/>
              </w:rPr>
            </w:pPr>
            <w:r w:rsidRPr="009C2D3D">
              <w:rPr>
                <w:b/>
                <w:bCs/>
              </w:rPr>
              <w:t>David</w:t>
            </w:r>
          </w:p>
        </w:tc>
      </w:tr>
      <w:tr w:rsidR="002904E2" w14:paraId="1B785432" w14:textId="77777777" w:rsidTr="002904E2">
        <w:tc>
          <w:tcPr>
            <w:tcW w:w="4675" w:type="dxa"/>
          </w:tcPr>
          <w:p w14:paraId="19AC5D87" w14:textId="77777777" w:rsidR="00CF7D75" w:rsidRDefault="00A53BF5" w:rsidP="006655BF">
            <w:r>
              <w:t xml:space="preserve">Holy Spirit removed; evil spirit given </w:t>
            </w:r>
          </w:p>
          <w:p w14:paraId="23EF2E77" w14:textId="2CF6F89D" w:rsidR="002904E2" w:rsidRDefault="00A53BF5" w:rsidP="006655BF">
            <w:r>
              <w:t>(16:14-23)</w:t>
            </w:r>
          </w:p>
        </w:tc>
        <w:tc>
          <w:tcPr>
            <w:tcW w:w="4675" w:type="dxa"/>
          </w:tcPr>
          <w:p w14:paraId="29D64095" w14:textId="55B57283" w:rsidR="002904E2" w:rsidRDefault="00CF7D75" w:rsidP="006655BF">
            <w:r>
              <w:t>Anointed</w:t>
            </w:r>
            <w:r w:rsidR="00A53BF5">
              <w:t xml:space="preserve"> with Holy Spirit (16:1-13)</w:t>
            </w:r>
          </w:p>
        </w:tc>
      </w:tr>
      <w:tr w:rsidR="002904E2" w14:paraId="4A4D5BC4" w14:textId="77777777" w:rsidTr="002904E2">
        <w:tc>
          <w:tcPr>
            <w:tcW w:w="4675" w:type="dxa"/>
          </w:tcPr>
          <w:p w14:paraId="7242C140" w14:textId="13720BE4" w:rsidR="002904E2" w:rsidRDefault="00CF7D75" w:rsidP="006655BF">
            <w:r>
              <w:t>Jealous and treacherous (18)</w:t>
            </w:r>
          </w:p>
        </w:tc>
        <w:tc>
          <w:tcPr>
            <w:tcW w:w="4675" w:type="dxa"/>
          </w:tcPr>
          <w:p w14:paraId="05FCB235" w14:textId="452035BB" w:rsidR="002904E2" w:rsidRDefault="00D03729" w:rsidP="006655BF">
            <w:r>
              <w:t>Faithful friend (20)</w:t>
            </w:r>
          </w:p>
        </w:tc>
      </w:tr>
      <w:tr w:rsidR="002904E2" w14:paraId="15316089" w14:textId="77777777" w:rsidTr="002904E2">
        <w:tc>
          <w:tcPr>
            <w:tcW w:w="4675" w:type="dxa"/>
          </w:tcPr>
          <w:p w14:paraId="14C6571B" w14:textId="2874E65A" w:rsidR="002904E2" w:rsidRDefault="00D03729" w:rsidP="006655BF">
            <w:r>
              <w:t>Attempts to kill David (19)</w:t>
            </w:r>
          </w:p>
        </w:tc>
        <w:tc>
          <w:tcPr>
            <w:tcW w:w="4675" w:type="dxa"/>
          </w:tcPr>
          <w:p w14:paraId="180865AD" w14:textId="1656C686" w:rsidR="002904E2" w:rsidRDefault="00D03729" w:rsidP="006655BF">
            <w:r>
              <w:t>Protects Saul’s life (24; 26)</w:t>
            </w:r>
          </w:p>
        </w:tc>
      </w:tr>
      <w:tr w:rsidR="002904E2" w14:paraId="50994362" w14:textId="77777777" w:rsidTr="002904E2">
        <w:tc>
          <w:tcPr>
            <w:tcW w:w="4675" w:type="dxa"/>
          </w:tcPr>
          <w:p w14:paraId="22513493" w14:textId="43F353C5" w:rsidR="002904E2" w:rsidRDefault="00FB2B2B" w:rsidP="006655BF">
            <w:r>
              <w:t>Failed holy war (15)</w:t>
            </w:r>
          </w:p>
        </w:tc>
        <w:tc>
          <w:tcPr>
            <w:tcW w:w="4675" w:type="dxa"/>
          </w:tcPr>
          <w:p w14:paraId="205AA5D9" w14:textId="3679A2A1" w:rsidR="002904E2" w:rsidRDefault="00FB2B2B" w:rsidP="006655BF">
            <w:r>
              <w:t>Mighty holy warrior (17)</w:t>
            </w:r>
          </w:p>
        </w:tc>
      </w:tr>
      <w:tr w:rsidR="002904E2" w14:paraId="4D4AC8B5" w14:textId="77777777" w:rsidTr="002904E2">
        <w:tc>
          <w:tcPr>
            <w:tcW w:w="4675" w:type="dxa"/>
          </w:tcPr>
          <w:p w14:paraId="22BAE05E" w14:textId="1F4998F0" w:rsidR="002904E2" w:rsidRDefault="00FB2B2B" w:rsidP="006655BF">
            <w:r>
              <w:t>Kingdom torn away (13:13-14; 15:11, 26)</w:t>
            </w:r>
          </w:p>
        </w:tc>
        <w:tc>
          <w:tcPr>
            <w:tcW w:w="4675" w:type="dxa"/>
          </w:tcPr>
          <w:p w14:paraId="763E40D9" w14:textId="7E973CCD" w:rsidR="002904E2" w:rsidRDefault="00FB2B2B" w:rsidP="006655BF">
            <w:r>
              <w:t>Kingdom promised forever (2 Sam</w:t>
            </w:r>
            <w:r w:rsidR="009C2D3D">
              <w:t xml:space="preserve">. 7:1-17) </w:t>
            </w:r>
          </w:p>
        </w:tc>
      </w:tr>
    </w:tbl>
    <w:p w14:paraId="1800325A" w14:textId="23D623FE" w:rsidR="00E6011D" w:rsidRPr="00E6011D" w:rsidRDefault="00E6011D" w:rsidP="006655BF">
      <w:pPr>
        <w:rPr>
          <w:u w:val="single"/>
        </w:rPr>
      </w:pPr>
      <w:r w:rsidRPr="00E6011D">
        <w:rPr>
          <w:u w:val="single"/>
        </w:rPr>
        <w:lastRenderedPageBreak/>
        <w:t>Anointing</w:t>
      </w:r>
    </w:p>
    <w:p w14:paraId="67F5AE77" w14:textId="424E21DC" w:rsidR="00706AFF" w:rsidRPr="00706AFF" w:rsidRDefault="00706AFF" w:rsidP="006655BF">
      <w:r>
        <w:t xml:space="preserve">See </w:t>
      </w:r>
      <w:r w:rsidRPr="00E6011D">
        <w:rPr>
          <w:u w:val="single"/>
        </w:rPr>
        <w:t>Anointing</w:t>
      </w:r>
      <w:r w:rsidR="00E6011D">
        <w:t xml:space="preserve"> under 1 Sam</w:t>
      </w:r>
      <w:r w:rsidR="00D900E7">
        <w:t>.</w:t>
      </w:r>
      <w:r w:rsidR="00E6011D">
        <w:t xml:space="preserve"> 10. </w:t>
      </w:r>
      <w:r>
        <w:t xml:space="preserve"> </w:t>
      </w:r>
    </w:p>
    <w:p w14:paraId="74A4520E" w14:textId="4CB8C8A1" w:rsidR="008C3324" w:rsidRDefault="008C3324" w:rsidP="006655BF">
      <w:pPr>
        <w:rPr>
          <w:u w:val="single"/>
        </w:rPr>
      </w:pPr>
      <w:r w:rsidRPr="00706AFF">
        <w:rPr>
          <w:u w:val="single"/>
        </w:rPr>
        <w:t xml:space="preserve">David </w:t>
      </w:r>
    </w:p>
    <w:p w14:paraId="0294D634" w14:textId="293F1166" w:rsidR="00706AFF" w:rsidRDefault="00804B50" w:rsidP="006655BF">
      <w:r>
        <w:t xml:space="preserve">David’s story primarily takes place in </w:t>
      </w:r>
      <w:r w:rsidR="00254E66">
        <w:t xml:space="preserve">1-2 Samuel, concluding in 1 Kings 1-2. </w:t>
      </w:r>
      <w:r w:rsidR="008438E1">
        <w:t xml:space="preserve">He </w:t>
      </w:r>
      <w:r w:rsidR="000D35F9">
        <w:t>wa</w:t>
      </w:r>
      <w:r w:rsidR="008438E1">
        <w:t>s born in Bethlehem, the eighth son of Jesse</w:t>
      </w:r>
      <w:r w:rsidR="000D35F9">
        <w:t>.</w:t>
      </w:r>
      <w:r w:rsidR="008438E1">
        <w:t xml:space="preserve"> (1 Sam. 16:10) </w:t>
      </w:r>
      <w:r w:rsidR="00705612">
        <w:t xml:space="preserve">David </w:t>
      </w:r>
      <w:r w:rsidR="00186A30">
        <w:t>wa</w:t>
      </w:r>
      <w:r w:rsidR="00705612">
        <w:t xml:space="preserve">s anointed by Samuel (1 Sam. 16:13), entered Saul’s service (1 Sam. 16:21), and </w:t>
      </w:r>
      <w:r w:rsidR="008115EA">
        <w:t xml:space="preserve">had a close friendship with Saul’s son, Jonathan. (1 Sam. 18:1-4) </w:t>
      </w:r>
      <w:r w:rsidR="000F7FD7">
        <w:t>He reigned for 40 years</w:t>
      </w:r>
      <w:r w:rsidR="006B1F18">
        <w:t>.</w:t>
      </w:r>
      <w:r w:rsidR="000F7FD7">
        <w:t xml:space="preserve"> (1 K</w:t>
      </w:r>
      <w:r w:rsidR="00186A30">
        <w:t>in</w:t>
      </w:r>
      <w:r w:rsidR="000F7FD7">
        <w:t xml:space="preserve">gs 2:11) He </w:t>
      </w:r>
      <w:r w:rsidR="00186A30">
        <w:t>wa</w:t>
      </w:r>
      <w:r w:rsidR="001F0552">
        <w:t xml:space="preserve">s remembered as “the sweet psalmist of Israel” (2 Sam. 23:1) and a “man after God’s own heart.” </w:t>
      </w:r>
      <w:r w:rsidR="005B6CAB">
        <w:t xml:space="preserve">(1 Sam. 13:14; Acts </w:t>
      </w:r>
      <w:r w:rsidR="00BD7423">
        <w:t>13:22)</w:t>
      </w:r>
      <w:r w:rsidR="00BD7423">
        <w:rPr>
          <w:rStyle w:val="FootnoteReference"/>
        </w:rPr>
        <w:footnoteReference w:id="55"/>
      </w:r>
    </w:p>
    <w:p w14:paraId="72EA09FB" w14:textId="1D96FC7F" w:rsidR="00F73B73" w:rsidRPr="00B57A69" w:rsidRDefault="00F73B73" w:rsidP="006655BF">
      <w:pPr>
        <w:rPr>
          <w:u w:val="single"/>
        </w:rPr>
      </w:pPr>
      <w:r w:rsidRPr="00B57A69">
        <w:rPr>
          <w:u w:val="single"/>
        </w:rPr>
        <w:t>Bethlehem</w:t>
      </w:r>
    </w:p>
    <w:p w14:paraId="667D5BBE" w14:textId="76107F0C" w:rsidR="00F73B73" w:rsidRDefault="002A3265" w:rsidP="006655BF">
      <w:r>
        <w:t xml:space="preserve">A Judean </w:t>
      </w:r>
      <w:r w:rsidR="008E506A">
        <w:t>village</w:t>
      </w:r>
      <w:r>
        <w:t xml:space="preserve"> approximately six </w:t>
      </w:r>
      <w:r w:rsidR="00BF123E">
        <w:t>miles</w:t>
      </w:r>
      <w:r>
        <w:t xml:space="preserve"> south of </w:t>
      </w:r>
      <w:r w:rsidR="008E506A">
        <w:t xml:space="preserve">Jerusalem. </w:t>
      </w:r>
      <w:r w:rsidR="00BF123E">
        <w:t xml:space="preserve">The location </w:t>
      </w:r>
      <w:r w:rsidR="00034695">
        <w:t>wa</w:t>
      </w:r>
      <w:r w:rsidR="00BF123E">
        <w:t>s first mentioned in the Amarna letters</w:t>
      </w:r>
      <w:r w:rsidR="005701C4">
        <w:t>.</w:t>
      </w:r>
      <w:r w:rsidR="00BF123E">
        <w:t xml:space="preserve"> (14</w:t>
      </w:r>
      <w:r w:rsidR="00BF123E" w:rsidRPr="00BF123E">
        <w:rPr>
          <w:vertAlign w:val="superscript"/>
        </w:rPr>
        <w:t>th</w:t>
      </w:r>
      <w:r w:rsidR="00BF123E">
        <w:t xml:space="preserve"> century B</w:t>
      </w:r>
      <w:r w:rsidR="005701C4">
        <w:t>.</w:t>
      </w:r>
      <w:r w:rsidR="00BF123E">
        <w:t>C</w:t>
      </w:r>
      <w:r w:rsidR="005701C4">
        <w:t>.</w:t>
      </w:r>
      <w:r w:rsidR="00BF123E">
        <w:t>)</w:t>
      </w:r>
      <w:r w:rsidR="00C72F6B">
        <w:t xml:space="preserve"> Bethlehem </w:t>
      </w:r>
      <w:r w:rsidR="00034695">
        <w:t>wa</w:t>
      </w:r>
      <w:r w:rsidR="00C72F6B">
        <w:t xml:space="preserve">s first mentioned in </w:t>
      </w:r>
      <w:r w:rsidR="003524BB">
        <w:t>Judges 17</w:t>
      </w:r>
      <w:r w:rsidR="00B57A69">
        <w:t>-18</w:t>
      </w:r>
      <w:r w:rsidR="003524BB">
        <w:t xml:space="preserve">, in the story of the </w:t>
      </w:r>
      <w:r w:rsidR="00B624E5">
        <w:t xml:space="preserve">Levite who became a household priest in Ephraim. </w:t>
      </w:r>
      <w:r w:rsidR="00931F1B">
        <w:t xml:space="preserve">Micah 5:2 </w:t>
      </w:r>
      <w:r w:rsidR="00B91E49">
        <w:t>prophesies</w:t>
      </w:r>
      <w:r w:rsidR="00931F1B">
        <w:t xml:space="preserve"> a shepherd king from Bethlehem, and of course, </w:t>
      </w:r>
      <w:r w:rsidR="00907054">
        <w:t xml:space="preserve">Matthew 2 and Luke 2 detail Christ’s birth in Bethlehem. </w:t>
      </w:r>
    </w:p>
    <w:p w14:paraId="61CDB669" w14:textId="25475B5A" w:rsidR="00EE1522" w:rsidRDefault="00EE1522" w:rsidP="006655BF">
      <w:r>
        <w:t>Christian tradition, as early as the 2</w:t>
      </w:r>
      <w:r w:rsidRPr="00EE1522">
        <w:rPr>
          <w:vertAlign w:val="superscript"/>
        </w:rPr>
        <w:t>nd</w:t>
      </w:r>
      <w:r>
        <w:t xml:space="preserve"> century A</w:t>
      </w:r>
      <w:r w:rsidR="00034695">
        <w:t>.</w:t>
      </w:r>
      <w:r>
        <w:t>D</w:t>
      </w:r>
      <w:r w:rsidR="00034695">
        <w:t>.</w:t>
      </w:r>
      <w:r>
        <w:t xml:space="preserve">, </w:t>
      </w:r>
      <w:r w:rsidR="007176DC">
        <w:t>identified a cave as the place of Christ’s birth. Constantine built a church at the location in 338 A</w:t>
      </w:r>
      <w:r w:rsidR="00A87628">
        <w:t>.</w:t>
      </w:r>
      <w:r w:rsidR="007176DC">
        <w:t>D</w:t>
      </w:r>
      <w:r w:rsidR="009B1FEA">
        <w:t>. Later, around 386 A</w:t>
      </w:r>
      <w:r w:rsidR="00A87628">
        <w:t>.</w:t>
      </w:r>
      <w:r w:rsidR="009B1FEA">
        <w:t>D</w:t>
      </w:r>
      <w:r w:rsidR="00A87628">
        <w:t>.</w:t>
      </w:r>
      <w:r w:rsidR="009B1FEA">
        <w:t>, Jerome made his Latin Vulgate translation from Bethlehem.</w:t>
      </w:r>
      <w:r w:rsidR="00B91E49">
        <w:rPr>
          <w:rStyle w:val="FootnoteReference"/>
        </w:rPr>
        <w:footnoteReference w:id="56"/>
      </w:r>
    </w:p>
    <w:p w14:paraId="33029D95" w14:textId="77777777" w:rsidR="00A87628" w:rsidRDefault="007378A1" w:rsidP="007378A1">
      <w:pPr>
        <w:rPr>
          <w:u w:val="single"/>
        </w:rPr>
      </w:pPr>
      <w:r w:rsidRPr="007378A1">
        <w:rPr>
          <w:u w:val="single"/>
        </w:rPr>
        <w:t>In what sense can an evil spirit come from the Lord?</w:t>
      </w:r>
      <w:r>
        <w:rPr>
          <w:u w:val="single"/>
        </w:rPr>
        <w:t xml:space="preserve"> </w:t>
      </w:r>
    </w:p>
    <w:p w14:paraId="4877F00C" w14:textId="3D885A72" w:rsidR="007378A1" w:rsidRPr="007378A1" w:rsidRDefault="007378A1" w:rsidP="007378A1">
      <w:pPr>
        <w:rPr>
          <w:u w:val="single"/>
        </w:rPr>
      </w:pPr>
      <w:r w:rsidRPr="007378A1">
        <w:t>Two possible answers</w:t>
      </w:r>
      <w:r>
        <w:t>:</w:t>
      </w:r>
    </w:p>
    <w:p w14:paraId="3C40DA18" w14:textId="77777777" w:rsidR="007378A1" w:rsidRPr="007378A1" w:rsidRDefault="007378A1" w:rsidP="007378A1">
      <w:pPr>
        <w:numPr>
          <w:ilvl w:val="0"/>
          <w:numId w:val="20"/>
        </w:numPr>
        <w:tabs>
          <w:tab w:val="clear" w:pos="720"/>
          <w:tab w:val="num" w:pos="360"/>
        </w:tabs>
        <w:ind w:left="360"/>
      </w:pPr>
      <w:r w:rsidRPr="007378A1">
        <w:t xml:space="preserve">The Lord may have brought the evil spirit on Saul in judgment for Saul’s rebellion. </w:t>
      </w:r>
    </w:p>
    <w:p w14:paraId="1EFBAD7A" w14:textId="77777777" w:rsidR="007378A1" w:rsidRPr="007378A1" w:rsidRDefault="007378A1" w:rsidP="007378A1">
      <w:pPr>
        <w:numPr>
          <w:ilvl w:val="0"/>
          <w:numId w:val="20"/>
        </w:numPr>
        <w:tabs>
          <w:tab w:val="clear" w:pos="720"/>
          <w:tab w:val="num" w:pos="360"/>
        </w:tabs>
        <w:ind w:left="360"/>
      </w:pPr>
      <w:r w:rsidRPr="007378A1">
        <w:t xml:space="preserve">God may have intended the evil spirit to serve a redemptive function. </w:t>
      </w:r>
    </w:p>
    <w:p w14:paraId="3CC26975" w14:textId="050E47E9" w:rsidR="007378A1" w:rsidRDefault="007378A1" w:rsidP="006655BF">
      <w:pPr>
        <w:pStyle w:val="ListParagraph"/>
        <w:numPr>
          <w:ilvl w:val="0"/>
          <w:numId w:val="22"/>
        </w:numPr>
      </w:pPr>
      <w:r w:rsidRPr="007378A1">
        <w:t xml:space="preserve">In response to the evil spirit, David ended up in the royal court as a musician. </w:t>
      </w:r>
    </w:p>
    <w:p w14:paraId="19A36898" w14:textId="036DA178" w:rsidR="008B246E" w:rsidRPr="00FE7520" w:rsidRDefault="00B974CD" w:rsidP="006655BF">
      <w:pPr>
        <w:rPr>
          <w:i/>
          <w:iCs/>
        </w:rPr>
      </w:pPr>
      <w:r w:rsidRPr="00FE7520">
        <w:rPr>
          <w:i/>
          <w:iCs/>
        </w:rPr>
        <w:t>1 Sam</w:t>
      </w:r>
      <w:r w:rsidR="006E2009">
        <w:rPr>
          <w:i/>
          <w:iCs/>
        </w:rPr>
        <w:t>.</w:t>
      </w:r>
      <w:r w:rsidRPr="00FE7520">
        <w:rPr>
          <w:i/>
          <w:iCs/>
        </w:rPr>
        <w:t xml:space="preserve"> 17</w:t>
      </w:r>
    </w:p>
    <w:p w14:paraId="0ED090CF" w14:textId="58F60A93" w:rsidR="008D7325" w:rsidRPr="00CB4DDA" w:rsidRDefault="008B246E" w:rsidP="006655BF">
      <w:pPr>
        <w:rPr>
          <w:u w:val="single"/>
        </w:rPr>
      </w:pPr>
      <w:r w:rsidRPr="00CB4DDA">
        <w:rPr>
          <w:u w:val="single"/>
        </w:rPr>
        <w:t xml:space="preserve">Goliath </w:t>
      </w:r>
    </w:p>
    <w:p w14:paraId="7DBD5E44" w14:textId="751213D2" w:rsidR="00706AFF" w:rsidRDefault="00C72A98" w:rsidP="006655BF">
      <w:r>
        <w:t xml:space="preserve">Goliath </w:t>
      </w:r>
      <w:r w:rsidR="001741C6">
        <w:t>wa</w:t>
      </w:r>
      <w:r w:rsidR="00EC2CC5">
        <w:t xml:space="preserve">s called a Philistine, </w:t>
      </w:r>
      <w:r w:rsidR="00CB4DDA">
        <w:t>though</w:t>
      </w:r>
      <w:r w:rsidR="00EC2CC5">
        <w:t xml:space="preserve"> he may have </w:t>
      </w:r>
      <w:r w:rsidR="00CB4DDA">
        <w:t>“</w:t>
      </w:r>
      <w:r w:rsidR="00EC2CC5">
        <w:t xml:space="preserve">descended for the old Rephaim, </w:t>
      </w:r>
      <w:r w:rsidR="005C0227">
        <w:t xml:space="preserve">of </w:t>
      </w:r>
      <w:r w:rsidR="00EC2CC5">
        <w:t>wh</w:t>
      </w:r>
      <w:r w:rsidR="005C0227">
        <w:t>om</w:t>
      </w:r>
      <w:r w:rsidR="00EC2CC5">
        <w:t xml:space="preserve"> a scattered rem</w:t>
      </w:r>
      <w:r w:rsidR="005C0227">
        <w:t xml:space="preserve">nant </w:t>
      </w:r>
      <w:r w:rsidR="00AE4E94">
        <w:t xml:space="preserve">found refuge with the Philistines after their dispersion by </w:t>
      </w:r>
      <w:r w:rsidR="00654DD9">
        <w:t>the</w:t>
      </w:r>
      <w:r w:rsidR="00AE4E94">
        <w:t xml:space="preserve"> Ammonites</w:t>
      </w:r>
      <w:r w:rsidR="001741C6">
        <w:t>.</w:t>
      </w:r>
      <w:r w:rsidR="00AE4E94">
        <w:t xml:space="preserve"> (Deut. 2:20</w:t>
      </w:r>
      <w:r w:rsidR="00CB4DDA">
        <w:t>-21; 2 Sam. 21:22)”</w:t>
      </w:r>
      <w:r w:rsidR="00CB4DDA">
        <w:rPr>
          <w:rStyle w:val="FootnoteReference"/>
        </w:rPr>
        <w:footnoteReference w:id="57"/>
      </w:r>
      <w:r w:rsidR="00CB4DDA">
        <w:t xml:space="preserve"> </w:t>
      </w:r>
      <w:r w:rsidR="00237F1A">
        <w:t>In 1 Samu</w:t>
      </w:r>
      <w:r w:rsidR="001741C6">
        <w:t>e</w:t>
      </w:r>
      <w:r w:rsidR="00237F1A">
        <w:t>l 17:4</w:t>
      </w:r>
      <w:r w:rsidR="00CD7469">
        <w:t xml:space="preserve"> (M</w:t>
      </w:r>
      <w:r w:rsidR="00070F25">
        <w:t xml:space="preserve">asoretic </w:t>
      </w:r>
      <w:r w:rsidR="00CD7469">
        <w:t>T</w:t>
      </w:r>
      <w:r w:rsidR="00070F25">
        <w:t>ext</w:t>
      </w:r>
      <w:r w:rsidR="00CD7469">
        <w:t>)</w:t>
      </w:r>
      <w:r w:rsidR="00237F1A">
        <w:t xml:space="preserve">, he </w:t>
      </w:r>
      <w:r w:rsidR="00070F25">
        <w:t>wa</w:t>
      </w:r>
      <w:r w:rsidR="00237F1A">
        <w:t xml:space="preserve">s described as </w:t>
      </w:r>
      <w:r w:rsidR="006103E9">
        <w:t xml:space="preserve">six </w:t>
      </w:r>
      <w:r w:rsidR="006103E9">
        <w:lastRenderedPageBreak/>
        <w:t>cubits and a span tall (</w:t>
      </w:r>
      <w:r w:rsidR="005F4EF4">
        <w:t xml:space="preserve">A </w:t>
      </w:r>
      <w:r w:rsidR="006103E9">
        <w:t xml:space="preserve">cubit </w:t>
      </w:r>
      <w:r w:rsidR="005F4EF4">
        <w:t>wa</w:t>
      </w:r>
      <w:r w:rsidR="006103E9">
        <w:t xml:space="preserve">s around 18 </w:t>
      </w:r>
      <w:r w:rsidR="000B2028">
        <w:t>inches), about 9.5 feet tall.</w:t>
      </w:r>
      <w:r w:rsidR="0044497A">
        <w:rPr>
          <w:rStyle w:val="FootnoteReference"/>
        </w:rPr>
        <w:footnoteReference w:id="58"/>
      </w:r>
      <w:r w:rsidR="000B2028">
        <w:t xml:space="preserve"> </w:t>
      </w:r>
      <w:r w:rsidR="00CD7469">
        <w:t xml:space="preserve">Some other traditions, </w:t>
      </w:r>
      <w:r w:rsidR="0003281D">
        <w:t xml:space="preserve">the Dead Sea Scrolls and the LXX </w:t>
      </w:r>
      <w:r w:rsidR="0044497A">
        <w:t>measure</w:t>
      </w:r>
      <w:r w:rsidR="005F4EF4">
        <w:t>d</w:t>
      </w:r>
      <w:r w:rsidR="0044497A">
        <w:t xml:space="preserve"> Goliath at four cubits and a span (6</w:t>
      </w:r>
      <w:r w:rsidR="005F4EF4">
        <w:t xml:space="preserve"> </w:t>
      </w:r>
      <w:r w:rsidR="0044497A">
        <w:t>ft</w:t>
      </w:r>
      <w:r w:rsidR="005F4EF4">
        <w:t>.</w:t>
      </w:r>
      <w:r w:rsidR="0044497A">
        <w:t xml:space="preserve"> 9</w:t>
      </w:r>
      <w:r w:rsidR="005F4EF4">
        <w:t xml:space="preserve"> </w:t>
      </w:r>
      <w:r w:rsidR="0044497A">
        <w:t>in</w:t>
      </w:r>
      <w:r w:rsidR="005F4EF4">
        <w:t>.</w:t>
      </w:r>
      <w:r w:rsidR="0044497A">
        <w:t xml:space="preserve"> tall).</w:t>
      </w:r>
      <w:r w:rsidR="008E275F">
        <w:rPr>
          <w:rStyle w:val="FootnoteReference"/>
        </w:rPr>
        <w:footnoteReference w:id="59"/>
      </w:r>
    </w:p>
    <w:p w14:paraId="7D66E35A" w14:textId="230EDD66" w:rsidR="007D5E16" w:rsidRDefault="00A66CBC" w:rsidP="006655BF">
      <w:r>
        <w:t xml:space="preserve">Confusion </w:t>
      </w:r>
      <w:r w:rsidR="00CD11E3">
        <w:t>exists</w:t>
      </w:r>
      <w:r>
        <w:t xml:space="preserve"> around the meaning of 2 Sam</w:t>
      </w:r>
      <w:r w:rsidR="004D25EB">
        <w:t>uel</w:t>
      </w:r>
      <w:r>
        <w:t xml:space="preserve"> 21:19, which </w:t>
      </w:r>
      <w:r w:rsidR="00F55D58">
        <w:t>mentions</w:t>
      </w:r>
      <w:r>
        <w:t xml:space="preserve"> the death of a warrior named Goliath </w:t>
      </w:r>
      <w:r w:rsidR="00CD11E3">
        <w:t xml:space="preserve">at the hands of Elhanan. “The AV attempts to harmonize the </w:t>
      </w:r>
      <w:r w:rsidR="00A53C55">
        <w:t>discrepancy</w:t>
      </w:r>
      <w:r w:rsidR="00410623">
        <w:t xml:space="preserve"> by reading: ‘Elhanan. . . slew the brother of Goliath</w:t>
      </w:r>
      <w:r w:rsidR="004C1542">
        <w:t>.</w:t>
      </w:r>
      <w:r w:rsidR="00FC4522">
        <w:t>.</w:t>
      </w:r>
      <w:r w:rsidR="004C1542">
        <w:t xml:space="preserve">..’ </w:t>
      </w:r>
      <w:r w:rsidR="00193E68">
        <w:t>”</w:t>
      </w:r>
      <w:r w:rsidR="004A317A">
        <w:rPr>
          <w:rStyle w:val="FootnoteReference"/>
        </w:rPr>
        <w:footnoteReference w:id="60"/>
      </w:r>
      <w:r w:rsidR="00193E68">
        <w:t xml:space="preserve"> This has led some to conclude that the </w:t>
      </w:r>
      <w:r w:rsidR="00A53C55">
        <w:t>attribution of Goliath’s death at the hands of David “may not be original.”</w:t>
      </w:r>
      <w:r w:rsidR="00A53C55">
        <w:rPr>
          <w:rStyle w:val="FootnoteReference"/>
        </w:rPr>
        <w:footnoteReference w:id="61"/>
      </w:r>
      <w:r w:rsidR="000F199D">
        <w:t xml:space="preserve"> On the other hand, Unger argues that</w:t>
      </w:r>
      <w:r w:rsidR="00FC4522">
        <w:t>,</w:t>
      </w:r>
      <w:r w:rsidR="000F199D">
        <w:t xml:space="preserve"> </w:t>
      </w:r>
    </w:p>
    <w:p w14:paraId="0AE655C0" w14:textId="4AD336D4" w:rsidR="002F00CD" w:rsidRDefault="002719A4" w:rsidP="00A25A0C">
      <w:pPr>
        <w:ind w:left="720"/>
      </w:pPr>
      <w:r>
        <w:t>A</w:t>
      </w:r>
      <w:r w:rsidR="00FB1E40">
        <w:t xml:space="preserve"> careful study of the original suggests that the reading</w:t>
      </w:r>
      <w:r>
        <w:t>s</w:t>
      </w:r>
      <w:r w:rsidR="00FB1E40">
        <w:t xml:space="preserve"> both </w:t>
      </w:r>
      <w:r w:rsidR="001F7A17">
        <w:t>i</w:t>
      </w:r>
      <w:r w:rsidR="003F3D21">
        <w:t xml:space="preserve">n </w:t>
      </w:r>
      <w:r w:rsidR="00FB1E40">
        <w:t xml:space="preserve">Samuel and Chronicles originally was either, </w:t>
      </w:r>
      <w:r w:rsidR="001F7A17">
        <w:t>“</w:t>
      </w:r>
      <w:r w:rsidR="00FB1E40">
        <w:t xml:space="preserve">And Elhanan the son of Jair killed Lahmi and the </w:t>
      </w:r>
      <w:r w:rsidR="003F3D21">
        <w:t>brother</w:t>
      </w:r>
      <w:r w:rsidR="00FB1E40">
        <w:t xml:space="preserve"> of Goliath,</w:t>
      </w:r>
      <w:r w:rsidR="001F7A17">
        <w:t>”</w:t>
      </w:r>
      <w:r w:rsidR="00FB1E40">
        <w:t xml:space="preserve"> or, </w:t>
      </w:r>
      <w:r w:rsidR="001F7A17">
        <w:t>“</w:t>
      </w:r>
      <w:r w:rsidR="004B78EB">
        <w:t xml:space="preserve">Elhanan the son of Jair the </w:t>
      </w:r>
      <w:r w:rsidR="007D5E16">
        <w:t>Bethlehemite</w:t>
      </w:r>
      <w:r w:rsidR="004F7E4C">
        <w:t xml:space="preserve"> killed the </w:t>
      </w:r>
      <w:r w:rsidR="003F3D21">
        <w:t>brother</w:t>
      </w:r>
      <w:r w:rsidR="004F7E4C">
        <w:t xml:space="preserve"> of Goliath.</w:t>
      </w:r>
      <w:r w:rsidR="001F7A17">
        <w:t>”</w:t>
      </w:r>
      <w:r w:rsidR="004F7E4C">
        <w:t xml:space="preserve"> In the or</w:t>
      </w:r>
      <w:r w:rsidR="006D477C">
        <w:t>iginal, it is obvious that both passages substantiate that David killed Goliath and Elhanan killed the brother of Goliath.</w:t>
      </w:r>
      <w:r w:rsidR="0028326B">
        <w:rPr>
          <w:rStyle w:val="FootnoteReference"/>
        </w:rPr>
        <w:footnoteReference w:id="62"/>
      </w:r>
    </w:p>
    <w:p w14:paraId="723FC6D9" w14:textId="218496E6" w:rsidR="00F1503D" w:rsidRDefault="00783F29" w:rsidP="006655BF">
      <w:pPr>
        <w:rPr>
          <w:u w:val="single"/>
        </w:rPr>
      </w:pPr>
      <w:r>
        <w:rPr>
          <w:u w:val="single"/>
        </w:rPr>
        <w:t>Stones</w:t>
      </w:r>
    </w:p>
    <w:p w14:paraId="1BBD6ECF" w14:textId="36D805A2" w:rsidR="00783F29" w:rsidRPr="00783F29" w:rsidRDefault="00EE6B18" w:rsidP="006655BF">
      <w:r>
        <w:t>First</w:t>
      </w:r>
      <w:r w:rsidR="00A12E3F">
        <w:t xml:space="preserve"> Samuel 17:40 reads, “Then he took his staff in his hand and chose five smooth stones from the brook….” </w:t>
      </w:r>
      <w:r w:rsidR="00025453">
        <w:t>The stones were not small, flat stones; rather, “</w:t>
      </w:r>
      <w:r w:rsidR="00182F2F">
        <w:t xml:space="preserve">because the stones </w:t>
      </w:r>
      <w:r w:rsidR="00AE7B6D">
        <w:t>were</w:t>
      </w:r>
      <w:r w:rsidR="00182F2F">
        <w:t xml:space="preserve"> </w:t>
      </w:r>
      <w:r w:rsidR="00AE7B6D">
        <w:t>intended</w:t>
      </w:r>
      <w:r w:rsidR="00182F2F">
        <w:t xml:space="preserve"> for use ‘with his sling’ in battle, they probably were about the size of typical</w:t>
      </w:r>
      <w:r w:rsidR="00AE7B6D">
        <w:t xml:space="preserve"> ancient Near Eastern </w:t>
      </w:r>
      <w:r w:rsidR="00DC0EAA">
        <w:t>sling stones</w:t>
      </w:r>
      <w:r w:rsidR="00AE7B6D">
        <w:t>—as big as tennis balls.”</w:t>
      </w:r>
      <w:r w:rsidR="00AE7B6D">
        <w:rPr>
          <w:rStyle w:val="FootnoteReference"/>
        </w:rPr>
        <w:footnoteReference w:id="63"/>
      </w:r>
      <w:r w:rsidR="00AE7B6D">
        <w:t xml:space="preserve"> </w:t>
      </w:r>
    </w:p>
    <w:p w14:paraId="0D9FF64E" w14:textId="1FD83344" w:rsidR="00706AFF" w:rsidRPr="00FE7520" w:rsidRDefault="00916333" w:rsidP="006655BF">
      <w:pPr>
        <w:rPr>
          <w:i/>
          <w:iCs/>
        </w:rPr>
      </w:pPr>
      <w:r w:rsidRPr="00FE7520">
        <w:rPr>
          <w:i/>
          <w:iCs/>
        </w:rPr>
        <w:t>1 Sam</w:t>
      </w:r>
      <w:r w:rsidR="006E2009">
        <w:rPr>
          <w:i/>
          <w:iCs/>
        </w:rPr>
        <w:t>.</w:t>
      </w:r>
      <w:r w:rsidRPr="00FE7520">
        <w:rPr>
          <w:i/>
          <w:iCs/>
        </w:rPr>
        <w:t xml:space="preserve"> 18 </w:t>
      </w:r>
    </w:p>
    <w:p w14:paraId="4718B4D0" w14:textId="4291C65D" w:rsidR="00916333" w:rsidRDefault="00DF5890" w:rsidP="006655BF">
      <w:r>
        <w:t xml:space="preserve">See </w:t>
      </w:r>
      <w:r>
        <w:rPr>
          <w:u w:val="single"/>
        </w:rPr>
        <w:t xml:space="preserve">Jonathan </w:t>
      </w:r>
      <w:r w:rsidR="005A24CE">
        <w:t>under 1 Sam</w:t>
      </w:r>
      <w:r w:rsidR="00A07B69">
        <w:t>.</w:t>
      </w:r>
      <w:r w:rsidR="005A24CE">
        <w:t xml:space="preserve"> 14.</w:t>
      </w:r>
    </w:p>
    <w:p w14:paraId="05E3396C" w14:textId="458DA998" w:rsidR="007378A1" w:rsidRDefault="00CD3DD8" w:rsidP="006655BF">
      <w:pPr>
        <w:rPr>
          <w:u w:val="single"/>
        </w:rPr>
      </w:pPr>
      <w:r w:rsidRPr="00CD3DD8">
        <w:rPr>
          <w:u w:val="single"/>
        </w:rPr>
        <w:t>Thousands…and ten thousands</w:t>
      </w:r>
    </w:p>
    <w:p w14:paraId="08361286" w14:textId="5FD9E8E3" w:rsidR="00CD3DD8" w:rsidRPr="00625C7E" w:rsidRDefault="00A07B69" w:rsidP="006655BF">
      <w:r>
        <w:t>First</w:t>
      </w:r>
      <w:r w:rsidR="00625C7E" w:rsidRPr="00625C7E">
        <w:t xml:space="preserve"> Samuel 18:7</w:t>
      </w:r>
      <w:r w:rsidR="00625C7E">
        <w:t xml:space="preserve"> includes the couplet, “Saul has struck down his thousands, and David his ten thousands.” </w:t>
      </w:r>
      <w:r w:rsidR="00FA5C1C">
        <w:t xml:space="preserve">In Psalm 91:7 and in the Ugaritic </w:t>
      </w:r>
      <w:r w:rsidR="0092394F">
        <w:t>texts</w:t>
      </w:r>
      <w:r w:rsidR="00537E89">
        <w:t>,</w:t>
      </w:r>
      <w:r w:rsidR="00FA5C1C">
        <w:t xml:space="preserve"> </w:t>
      </w:r>
      <w:r w:rsidR="00FA5C1C" w:rsidRPr="0092394F">
        <w:rPr>
          <w:i/>
          <w:iCs/>
        </w:rPr>
        <w:t>thousands</w:t>
      </w:r>
      <w:r w:rsidR="00FA5C1C">
        <w:t xml:space="preserve"> and </w:t>
      </w:r>
      <w:r w:rsidR="00FA5C1C" w:rsidRPr="0092394F">
        <w:rPr>
          <w:i/>
          <w:iCs/>
        </w:rPr>
        <w:t>ten</w:t>
      </w:r>
      <w:r w:rsidR="00FA5C1C">
        <w:t xml:space="preserve"> </w:t>
      </w:r>
      <w:r w:rsidR="00FA5C1C" w:rsidRPr="0092394F">
        <w:rPr>
          <w:i/>
          <w:iCs/>
        </w:rPr>
        <w:t>thousands</w:t>
      </w:r>
      <w:r w:rsidR="00FA5C1C">
        <w:t xml:space="preserve"> are used </w:t>
      </w:r>
      <w:r w:rsidR="0092394F">
        <w:t>synonymously</w:t>
      </w:r>
      <w:r w:rsidR="00FA5C1C">
        <w:t xml:space="preserve">. </w:t>
      </w:r>
      <w:r w:rsidR="00F20469">
        <w:t>“</w:t>
      </w:r>
      <w:r w:rsidR="0042039C">
        <w:t>Still</w:t>
      </w:r>
      <w:r w:rsidR="00537E89">
        <w:t>,</w:t>
      </w:r>
      <w:r w:rsidR="0042039C">
        <w:t xml:space="preserve"> the couplet does suggest a contrast between Saul and </w:t>
      </w:r>
      <w:r w:rsidR="0092394F">
        <w:t>David</w:t>
      </w:r>
      <w:r w:rsidR="0042039C">
        <w:t xml:space="preserve"> that might make the </w:t>
      </w:r>
      <w:r w:rsidR="0092394F">
        <w:t>listener</w:t>
      </w:r>
      <w:r w:rsidR="0042039C">
        <w:t xml:space="preserve"> think </w:t>
      </w:r>
      <w:r w:rsidR="0092394F">
        <w:t>that</w:t>
      </w:r>
      <w:r w:rsidR="0042039C">
        <w:t xml:space="preserve"> the num</w:t>
      </w:r>
      <w:r w:rsidR="0092394F">
        <w:t>b</w:t>
      </w:r>
      <w:r w:rsidR="0042039C">
        <w:t xml:space="preserve">ers are also to be </w:t>
      </w:r>
      <w:r w:rsidR="002908C9">
        <w:t>contrasted</w:t>
      </w:r>
      <w:r w:rsidR="0042039C">
        <w:t xml:space="preserve">. From Saul’s point of view, even an </w:t>
      </w:r>
      <w:r w:rsidR="00537E89">
        <w:t>assertion</w:t>
      </w:r>
      <w:r w:rsidR="0042039C">
        <w:t xml:space="preserve"> of equality for David might have been suspect.”</w:t>
      </w:r>
      <w:r w:rsidR="00537E89">
        <w:rPr>
          <w:rStyle w:val="FootnoteReference"/>
        </w:rPr>
        <w:footnoteReference w:id="64"/>
      </w:r>
    </w:p>
    <w:p w14:paraId="40096555" w14:textId="4B68353A" w:rsidR="00890DD4" w:rsidRPr="00890DD4" w:rsidRDefault="00890DD4" w:rsidP="006655BF">
      <w:pPr>
        <w:rPr>
          <w:u w:val="single"/>
        </w:rPr>
      </w:pPr>
      <w:r w:rsidRPr="00890DD4">
        <w:rPr>
          <w:u w:val="single"/>
        </w:rPr>
        <w:lastRenderedPageBreak/>
        <w:t xml:space="preserve">Michal </w:t>
      </w:r>
    </w:p>
    <w:p w14:paraId="60A0EC1C" w14:textId="2178D84F" w:rsidR="00B17C75" w:rsidRPr="00917216" w:rsidRDefault="007416BF" w:rsidP="006655BF">
      <w:r>
        <w:t xml:space="preserve">Michal was the youngest daughter of Saul (1 Sam. 14:49) and David’s first wife. (1 Sam. 18:27) </w:t>
      </w:r>
      <w:r w:rsidR="00A96075">
        <w:t>David paid double the bride price to marry her</w:t>
      </w:r>
      <w:r w:rsidR="003F6042">
        <w:t>.</w:t>
      </w:r>
      <w:r w:rsidR="00A96075">
        <w:t xml:space="preserve"> (1 Sam. 18:25-27)</w:t>
      </w:r>
      <w:r w:rsidR="00B97C2F">
        <w:t xml:space="preserve"> She helped David escape from Saul (1 Sam. 19:11-17)</w:t>
      </w:r>
      <w:r w:rsidR="0001724D">
        <w:t xml:space="preserve"> and later</w:t>
      </w:r>
      <w:r w:rsidR="00B97C2F">
        <w:t xml:space="preserve"> </w:t>
      </w:r>
      <w:r w:rsidR="0002128B">
        <w:t>criticized</w:t>
      </w:r>
      <w:r w:rsidR="00B97C2F">
        <w:t xml:space="preserve"> David for dancing before the Ark of God. (2 Sam. 6:16-23</w:t>
      </w:r>
      <w:r w:rsidR="0002128B">
        <w:t>) As a result, she never bore children</w:t>
      </w:r>
      <w:r w:rsidR="003F6042">
        <w:t>.</w:t>
      </w:r>
      <w:r w:rsidR="0002128B">
        <w:t xml:space="preserve"> (2 Sam. 6:23)</w:t>
      </w:r>
      <w:r w:rsidR="0002128B">
        <w:rPr>
          <w:rStyle w:val="FootnoteReference"/>
        </w:rPr>
        <w:footnoteReference w:id="65"/>
      </w:r>
    </w:p>
    <w:p w14:paraId="548B9075" w14:textId="443373CC" w:rsidR="00DB6CD6" w:rsidRPr="005A24CE" w:rsidRDefault="00F11E53" w:rsidP="006655BF">
      <w:pPr>
        <w:rPr>
          <w:i/>
          <w:iCs/>
        </w:rPr>
      </w:pPr>
      <w:r w:rsidRPr="005A24CE">
        <w:rPr>
          <w:i/>
          <w:iCs/>
        </w:rPr>
        <w:t>1 Sam</w:t>
      </w:r>
      <w:r w:rsidR="006E2009">
        <w:rPr>
          <w:i/>
          <w:iCs/>
        </w:rPr>
        <w:t>.</w:t>
      </w:r>
      <w:r w:rsidRPr="005A24CE">
        <w:rPr>
          <w:i/>
          <w:iCs/>
        </w:rPr>
        <w:t xml:space="preserve"> 19</w:t>
      </w:r>
    </w:p>
    <w:p w14:paraId="3A3A6680" w14:textId="2482416F" w:rsidR="00671A6A" w:rsidRPr="009C5B72" w:rsidRDefault="00671A6A" w:rsidP="006655BF">
      <w:pPr>
        <w:rPr>
          <w:u w:val="single"/>
        </w:rPr>
      </w:pPr>
      <w:r w:rsidRPr="009C5B72">
        <w:rPr>
          <w:u w:val="single"/>
        </w:rPr>
        <w:t xml:space="preserve">David </w:t>
      </w:r>
      <w:r w:rsidR="009C5B72" w:rsidRPr="009C5B72">
        <w:rPr>
          <w:u w:val="single"/>
        </w:rPr>
        <w:t xml:space="preserve">Flees from Saul </w:t>
      </w:r>
    </w:p>
    <w:p w14:paraId="0742FA58" w14:textId="3D13FC0E" w:rsidR="009C5B72" w:rsidRDefault="00B65905" w:rsidP="00C21C7F">
      <w:pPr>
        <w:pStyle w:val="ListParagraph"/>
        <w:numPr>
          <w:ilvl w:val="0"/>
          <w:numId w:val="22"/>
        </w:numPr>
      </w:pPr>
      <w:r>
        <w:t>David fled from Saul in Gibeah</w:t>
      </w:r>
      <w:r w:rsidR="00170D16">
        <w:t>,</w:t>
      </w:r>
      <w:r>
        <w:t xml:space="preserve"> and </w:t>
      </w:r>
    </w:p>
    <w:p w14:paraId="02FCC0C9" w14:textId="7D6B845E" w:rsidR="00C02F63" w:rsidRDefault="000647C7" w:rsidP="00C02F63">
      <w:pPr>
        <w:pStyle w:val="ListParagraph"/>
        <w:numPr>
          <w:ilvl w:val="0"/>
          <w:numId w:val="23"/>
        </w:numPr>
      </w:pPr>
      <w:r>
        <w:t>David w</w:t>
      </w:r>
      <w:r w:rsidR="00B65905">
        <w:t xml:space="preserve">ent to </w:t>
      </w:r>
      <w:r w:rsidR="00C02F63">
        <w:t>Samuel at Naioth in Ramah</w:t>
      </w:r>
      <w:r>
        <w:t>.</w:t>
      </w:r>
    </w:p>
    <w:p w14:paraId="3605C5B6" w14:textId="20C202A3" w:rsidR="00C02F63" w:rsidRDefault="00C02F63" w:rsidP="00C02F63">
      <w:pPr>
        <w:pStyle w:val="ListParagraph"/>
        <w:numPr>
          <w:ilvl w:val="0"/>
          <w:numId w:val="23"/>
        </w:numPr>
      </w:pPr>
      <w:r>
        <w:t xml:space="preserve">After Saul found him, David fled </w:t>
      </w:r>
      <w:r w:rsidR="00A9443B">
        <w:t xml:space="preserve">back to Jonathan in </w:t>
      </w:r>
      <w:r w:rsidR="000D608F">
        <w:t>Gibeah</w:t>
      </w:r>
      <w:r w:rsidR="000647C7">
        <w:t>.</w:t>
      </w:r>
    </w:p>
    <w:p w14:paraId="5BAB5FF0" w14:textId="4DEBDDB0" w:rsidR="00A9443B" w:rsidRDefault="000D608F" w:rsidP="00C02F63">
      <w:pPr>
        <w:pStyle w:val="ListParagraph"/>
        <w:numPr>
          <w:ilvl w:val="0"/>
          <w:numId w:val="23"/>
        </w:numPr>
      </w:pPr>
      <w:r>
        <w:t xml:space="preserve">After Jonathan warned David of his </w:t>
      </w:r>
      <w:r w:rsidR="007D1E52">
        <w:t>father’s</w:t>
      </w:r>
      <w:r>
        <w:t xml:space="preserve"> plans, David fled to </w:t>
      </w:r>
      <w:r w:rsidR="007D1E52">
        <w:t>Ahimelech</w:t>
      </w:r>
      <w:r>
        <w:t xml:space="preserve"> the priest at Nob</w:t>
      </w:r>
      <w:r w:rsidR="000647C7">
        <w:t>.</w:t>
      </w:r>
    </w:p>
    <w:p w14:paraId="60967DE9" w14:textId="6CA484CC" w:rsidR="001B6452" w:rsidRDefault="001B6452" w:rsidP="00C02F63">
      <w:pPr>
        <w:pStyle w:val="ListParagraph"/>
        <w:numPr>
          <w:ilvl w:val="0"/>
          <w:numId w:val="23"/>
        </w:numPr>
      </w:pPr>
      <w:r>
        <w:t>At Nob, David got food and took Goliath’s sword</w:t>
      </w:r>
      <w:r w:rsidR="007D1E52">
        <w:t xml:space="preserve"> before fleeing to the Philistine city of Gath</w:t>
      </w:r>
      <w:r w:rsidR="000647C7">
        <w:t>.</w:t>
      </w:r>
    </w:p>
    <w:p w14:paraId="1DCFB194" w14:textId="6D73E295" w:rsidR="004A71DC" w:rsidRDefault="00A20897" w:rsidP="004A71DC">
      <w:pPr>
        <w:pStyle w:val="ListParagraph"/>
        <w:numPr>
          <w:ilvl w:val="0"/>
          <w:numId w:val="23"/>
        </w:numPr>
      </w:pPr>
      <w:r>
        <w:t xml:space="preserve">David set up his </w:t>
      </w:r>
      <w:r w:rsidR="000647C7">
        <w:t>headquarters</w:t>
      </w:r>
      <w:r>
        <w:t xml:space="preserve"> a</w:t>
      </w:r>
      <w:r w:rsidR="000B5896">
        <w:t>t</w:t>
      </w:r>
      <w:r>
        <w:t xml:space="preserve"> the cave of Adullam</w:t>
      </w:r>
      <w:r w:rsidR="000647C7">
        <w:t>,</w:t>
      </w:r>
      <w:r w:rsidR="004A71DC">
        <w:t xml:space="preserve"> w</w:t>
      </w:r>
      <w:r w:rsidR="00D41966">
        <w:t xml:space="preserve">here his army grew to more than 400 men. </w:t>
      </w:r>
    </w:p>
    <w:p w14:paraId="3CCCE275" w14:textId="7C5D8ECF" w:rsidR="000647C7" w:rsidRDefault="00D41966" w:rsidP="004A71DC">
      <w:pPr>
        <w:pStyle w:val="ListParagraph"/>
        <w:numPr>
          <w:ilvl w:val="0"/>
          <w:numId w:val="23"/>
        </w:numPr>
      </w:pPr>
      <w:r>
        <w:t xml:space="preserve">In order to protect his parents, </w:t>
      </w:r>
      <w:r w:rsidR="00902520">
        <w:t>David</w:t>
      </w:r>
      <w:r>
        <w:t xml:space="preserve"> left them </w:t>
      </w:r>
      <w:r w:rsidR="004A71DC">
        <w:t>in</w:t>
      </w:r>
      <w:r>
        <w:t xml:space="preserve"> the care of the king of Moab</w:t>
      </w:r>
      <w:r w:rsidR="00902520">
        <w:t xml:space="preserve"> at Mizpeh and</w:t>
      </w:r>
    </w:p>
    <w:p w14:paraId="366C1CDB" w14:textId="50567C7D" w:rsidR="00902520" w:rsidRDefault="00902520" w:rsidP="00C02F63">
      <w:pPr>
        <w:pStyle w:val="ListParagraph"/>
        <w:numPr>
          <w:ilvl w:val="0"/>
          <w:numId w:val="23"/>
        </w:numPr>
      </w:pPr>
      <w:r>
        <w:t xml:space="preserve">David went to live in the stronghold. </w:t>
      </w:r>
    </w:p>
    <w:p w14:paraId="132B58EF" w14:textId="2C3C9915" w:rsidR="00902520" w:rsidRDefault="003C4934" w:rsidP="00C02F63">
      <w:pPr>
        <w:pStyle w:val="ListParagraph"/>
        <w:numPr>
          <w:ilvl w:val="0"/>
          <w:numId w:val="23"/>
        </w:numPr>
      </w:pPr>
      <w:r>
        <w:t>Eventually, David went to the forest of Hereth</w:t>
      </w:r>
      <w:r w:rsidR="002A1CF7">
        <w:t xml:space="preserve"> and </w:t>
      </w:r>
    </w:p>
    <w:p w14:paraId="16A319C1" w14:textId="2BC9741A" w:rsidR="002A1CF7" w:rsidRDefault="002A1CF7" w:rsidP="00C02F63">
      <w:pPr>
        <w:pStyle w:val="ListParagraph"/>
        <w:numPr>
          <w:ilvl w:val="0"/>
          <w:numId w:val="23"/>
        </w:numPr>
      </w:pPr>
      <w:r>
        <w:t>Then David went to rescue nearby Keliah</w:t>
      </w:r>
      <w:r w:rsidR="000A23ED">
        <w:t xml:space="preserve"> from </w:t>
      </w:r>
      <w:r w:rsidR="00F84F17">
        <w:t xml:space="preserve">the </w:t>
      </w:r>
      <w:r w:rsidR="000A23ED">
        <w:t xml:space="preserve">Philistine raiding parties. </w:t>
      </w:r>
    </w:p>
    <w:p w14:paraId="34D55573" w14:textId="106C0654" w:rsidR="000A23ED" w:rsidRDefault="000A23ED" w:rsidP="00C02F63">
      <w:pPr>
        <w:pStyle w:val="ListParagraph"/>
        <w:numPr>
          <w:ilvl w:val="0"/>
          <w:numId w:val="23"/>
        </w:numPr>
      </w:pPr>
      <w:r>
        <w:t xml:space="preserve">When </w:t>
      </w:r>
      <w:r w:rsidR="009A2239">
        <w:t>David g</w:t>
      </w:r>
      <w:r w:rsidR="00DD2DD0">
        <w:t>ot</w:t>
      </w:r>
      <w:r w:rsidR="009A2239">
        <w:t xml:space="preserve"> word that Saul </w:t>
      </w:r>
      <w:r w:rsidR="00DD2DD0">
        <w:t>wa</w:t>
      </w:r>
      <w:r w:rsidR="009A2239">
        <w:t xml:space="preserve">s heading for Keilah, David and his </w:t>
      </w:r>
      <w:r w:rsidR="00AF7955">
        <w:t>600-man</w:t>
      </w:r>
      <w:r w:rsidR="009A2239">
        <w:t xml:space="preserve"> army </w:t>
      </w:r>
      <w:r w:rsidR="00F84F17">
        <w:t>traveled</w:t>
      </w:r>
      <w:r w:rsidR="00A24442">
        <w:t xml:space="preserve"> to the wilderness of Ziph</w:t>
      </w:r>
      <w:r w:rsidR="00EB1462">
        <w:t>.</w:t>
      </w:r>
    </w:p>
    <w:p w14:paraId="78DDC99B" w14:textId="77777777" w:rsidR="00C62148" w:rsidRDefault="00EB1462" w:rsidP="00C02F63">
      <w:pPr>
        <w:pStyle w:val="ListParagraph"/>
        <w:numPr>
          <w:ilvl w:val="0"/>
          <w:numId w:val="23"/>
        </w:numPr>
      </w:pPr>
      <w:r>
        <w:t>After</w:t>
      </w:r>
      <w:r w:rsidR="00CE148D">
        <w:t xml:space="preserve"> the men of Ziph betrayed David to Saul, David and his men fled to the wilderness of Mao</w:t>
      </w:r>
      <w:r w:rsidR="00092E13">
        <w:t>n</w:t>
      </w:r>
      <w:r w:rsidR="00C62148">
        <w:t xml:space="preserve">. </w:t>
      </w:r>
    </w:p>
    <w:p w14:paraId="325E7C16" w14:textId="77777777" w:rsidR="00445A50" w:rsidRDefault="003A0B3D" w:rsidP="00445A50">
      <w:pPr>
        <w:pStyle w:val="ListParagraph"/>
        <w:numPr>
          <w:ilvl w:val="0"/>
          <w:numId w:val="23"/>
        </w:numPr>
      </w:pPr>
      <w:r>
        <w:t>David</w:t>
      </w:r>
      <w:r w:rsidR="00092E13">
        <w:t xml:space="preserve"> narrowly escaped capture by Saul</w:t>
      </w:r>
      <w:r w:rsidR="00C62148">
        <w:t xml:space="preserve"> at Maon</w:t>
      </w:r>
      <w:r w:rsidR="009341AD">
        <w:t>. Fleeing the strongholds of Engedi,</w:t>
      </w:r>
      <w:r w:rsidR="00445A50">
        <w:t xml:space="preserve"> </w:t>
      </w:r>
    </w:p>
    <w:p w14:paraId="6F218019" w14:textId="1C64342E" w:rsidR="009341AD" w:rsidRDefault="00445A50" w:rsidP="00445A50">
      <w:pPr>
        <w:pStyle w:val="ListParagraph"/>
        <w:numPr>
          <w:ilvl w:val="0"/>
          <w:numId w:val="23"/>
        </w:numPr>
      </w:pPr>
      <w:r>
        <w:t>David escaped capture,</w:t>
      </w:r>
      <w:r w:rsidRPr="00445A50">
        <w:t xml:space="preserve"> </w:t>
      </w:r>
      <w:r>
        <w:t xml:space="preserve">and he refused to take Saul’s life when given the opportunity. </w:t>
      </w:r>
      <w:r w:rsidR="008F3BE5">
        <w:t>David returned to the stronghold.</w:t>
      </w:r>
    </w:p>
    <w:p w14:paraId="55326EC5" w14:textId="24324625" w:rsidR="00CE148D" w:rsidRDefault="008F3BE5" w:rsidP="00C02F63">
      <w:pPr>
        <w:pStyle w:val="ListParagraph"/>
        <w:numPr>
          <w:ilvl w:val="0"/>
          <w:numId w:val="23"/>
        </w:numPr>
      </w:pPr>
      <w:r>
        <w:t xml:space="preserve">David then goes to the </w:t>
      </w:r>
      <w:r w:rsidR="00E203DB">
        <w:t>wilderness</w:t>
      </w:r>
      <w:r>
        <w:t xml:space="preserve"> of Paran</w:t>
      </w:r>
      <w:r w:rsidR="00E203DB">
        <w:t>.</w:t>
      </w:r>
    </w:p>
    <w:p w14:paraId="14F636B8" w14:textId="7F723EA9" w:rsidR="00E203DB" w:rsidRDefault="00E203DB" w:rsidP="00C02F63">
      <w:pPr>
        <w:pStyle w:val="ListParagraph"/>
        <w:numPr>
          <w:ilvl w:val="0"/>
          <w:numId w:val="23"/>
        </w:numPr>
      </w:pPr>
      <w:r>
        <w:t xml:space="preserve">While David </w:t>
      </w:r>
      <w:r w:rsidR="006A1965">
        <w:t>is there, the men of Ziph again betray David to Saul, and once again,</w:t>
      </w:r>
      <w:r>
        <w:t xml:space="preserve"> David refuse</w:t>
      </w:r>
      <w:r w:rsidR="00174079">
        <w:t>s</w:t>
      </w:r>
      <w:r>
        <w:t xml:space="preserve"> to take Saul’s life. </w:t>
      </w:r>
    </w:p>
    <w:p w14:paraId="7DB89285" w14:textId="6EB07E38" w:rsidR="00C21C7F" w:rsidRPr="00C21C7F" w:rsidRDefault="00B17C75" w:rsidP="00C21C7F">
      <w:pPr>
        <w:pStyle w:val="ListParagraph"/>
        <w:numPr>
          <w:ilvl w:val="0"/>
          <w:numId w:val="23"/>
        </w:numPr>
      </w:pPr>
      <w:r>
        <w:t xml:space="preserve">Finally, David and his men </w:t>
      </w:r>
      <w:r w:rsidR="005930B2">
        <w:t>sought</w:t>
      </w:r>
      <w:r>
        <w:t xml:space="preserve"> refuge with Achish, the King of Gath. </w:t>
      </w:r>
      <w:r w:rsidR="00F94B8D">
        <w:rPr>
          <w:rStyle w:val="FootnoteReference"/>
        </w:rPr>
        <w:footnoteReference w:id="66"/>
      </w:r>
      <w:r w:rsidR="00C21C7F" w:rsidRPr="00C21C7F">
        <w:rPr>
          <w:i/>
          <w:iCs/>
        </w:rPr>
        <w:br w:type="page"/>
      </w:r>
    </w:p>
    <w:p w14:paraId="7FE3AEDF" w14:textId="3F483B6B" w:rsidR="00DB6CD6" w:rsidRPr="005A24CE" w:rsidRDefault="00B2359D" w:rsidP="006655BF">
      <w:pPr>
        <w:rPr>
          <w:i/>
          <w:iCs/>
        </w:rPr>
      </w:pPr>
      <w:r w:rsidRPr="005A24CE">
        <w:rPr>
          <w:i/>
          <w:iCs/>
        </w:rPr>
        <w:lastRenderedPageBreak/>
        <w:t>1 Sam</w:t>
      </w:r>
      <w:r w:rsidR="006E2009">
        <w:rPr>
          <w:i/>
          <w:iCs/>
        </w:rPr>
        <w:t>.</w:t>
      </w:r>
      <w:r w:rsidRPr="005A24CE">
        <w:rPr>
          <w:i/>
          <w:iCs/>
        </w:rPr>
        <w:t xml:space="preserve"> 20</w:t>
      </w:r>
    </w:p>
    <w:p w14:paraId="00A4C9AA" w14:textId="6AEA3FD6" w:rsidR="00B2359D" w:rsidRPr="00CB224B" w:rsidRDefault="00E46658" w:rsidP="006655BF">
      <w:pPr>
        <w:rPr>
          <w:u w:val="single"/>
        </w:rPr>
      </w:pPr>
      <w:r w:rsidRPr="00CB224B">
        <w:rPr>
          <w:u w:val="single"/>
        </w:rPr>
        <w:t xml:space="preserve">The New Moon Festival </w:t>
      </w:r>
    </w:p>
    <w:p w14:paraId="6AFCED28" w14:textId="50764FF3" w:rsidR="002508FE" w:rsidRPr="001834C6" w:rsidRDefault="001C3BC3" w:rsidP="006655BF">
      <w:r>
        <w:t xml:space="preserve">Israel followed a lunar </w:t>
      </w:r>
      <w:r w:rsidR="00E46671">
        <w:t>calendar,</w:t>
      </w:r>
      <w:r>
        <w:t xml:space="preserve"> and </w:t>
      </w:r>
      <w:r w:rsidR="00E46671">
        <w:t>the new moon was marked as a festival day. According to Amos 8:5, all work was to cease, and sacrifices were to be offered</w:t>
      </w:r>
      <w:r w:rsidR="00BE2B79">
        <w:t>.</w:t>
      </w:r>
      <w:r w:rsidR="00E46671">
        <w:t xml:space="preserve"> (Num. 28:11-15) </w:t>
      </w:r>
      <w:r w:rsidR="0007661B">
        <w:t xml:space="preserve">The </w:t>
      </w:r>
      <w:r w:rsidR="00CB224B">
        <w:t>festival</w:t>
      </w:r>
      <w:r w:rsidR="0007661B">
        <w:t xml:space="preserve"> continued to be celebrated </w:t>
      </w:r>
      <w:r w:rsidR="00CB224B">
        <w:t xml:space="preserve">into </w:t>
      </w:r>
      <w:r w:rsidR="006A1965">
        <w:t>post-exilic</w:t>
      </w:r>
      <w:r w:rsidR="00CB224B">
        <w:t xml:space="preserve"> times</w:t>
      </w:r>
      <w:r w:rsidR="00BE2B79">
        <w:t>.</w:t>
      </w:r>
      <w:r w:rsidR="00CB224B">
        <w:t xml:space="preserve"> (Ez</w:t>
      </w:r>
      <w:r w:rsidR="003F7C0E">
        <w:t>ra</w:t>
      </w:r>
      <w:r w:rsidR="00CB224B">
        <w:t xml:space="preserve"> 3:5; Neh. 10:33) </w:t>
      </w:r>
    </w:p>
    <w:p w14:paraId="1DADC9FB" w14:textId="04EE2684" w:rsidR="00DB6CD6" w:rsidRPr="005A24CE" w:rsidRDefault="00FA1B65" w:rsidP="006655BF">
      <w:pPr>
        <w:rPr>
          <w:i/>
          <w:iCs/>
        </w:rPr>
      </w:pPr>
      <w:r w:rsidRPr="005A24CE">
        <w:rPr>
          <w:i/>
          <w:iCs/>
        </w:rPr>
        <w:t>1 Sam</w:t>
      </w:r>
      <w:r w:rsidR="006E2009">
        <w:rPr>
          <w:i/>
          <w:iCs/>
        </w:rPr>
        <w:t>.</w:t>
      </w:r>
      <w:r w:rsidRPr="005A24CE">
        <w:rPr>
          <w:i/>
          <w:iCs/>
        </w:rPr>
        <w:t xml:space="preserve"> 21</w:t>
      </w:r>
    </w:p>
    <w:p w14:paraId="0A4116BD" w14:textId="31530CF4" w:rsidR="00DB6CD6" w:rsidRPr="00391427" w:rsidRDefault="00F00364" w:rsidP="006655BF">
      <w:pPr>
        <w:rPr>
          <w:u w:val="single"/>
        </w:rPr>
      </w:pPr>
      <w:r w:rsidRPr="00391427">
        <w:rPr>
          <w:u w:val="single"/>
        </w:rPr>
        <w:t>Nob</w:t>
      </w:r>
    </w:p>
    <w:p w14:paraId="4F0D57CC" w14:textId="439C1C2E" w:rsidR="00F00364" w:rsidRDefault="001E65DE" w:rsidP="006655BF">
      <w:r>
        <w:t xml:space="preserve">Nob </w:t>
      </w:r>
      <w:r w:rsidR="008B5110">
        <w:t>was a town of Benj</w:t>
      </w:r>
      <w:r w:rsidR="00F81088">
        <w:t>a</w:t>
      </w:r>
      <w:r w:rsidR="00AB6322">
        <w:t xml:space="preserve">man. The town </w:t>
      </w:r>
      <w:r w:rsidR="00A902CE">
        <w:t xml:space="preserve">can be found in a list of </w:t>
      </w:r>
      <w:r w:rsidR="006A1965">
        <w:t>post-exilic</w:t>
      </w:r>
      <w:r w:rsidR="00A902CE">
        <w:t xml:space="preserve"> </w:t>
      </w:r>
      <w:r w:rsidR="00171102">
        <w:t>cities in Neh</w:t>
      </w:r>
      <w:r w:rsidR="00341C30">
        <w:t>emiah</w:t>
      </w:r>
      <w:r w:rsidR="00171102">
        <w:t xml:space="preserve"> 11:31-32. </w:t>
      </w:r>
      <w:r w:rsidR="00A4270D">
        <w:t xml:space="preserve">Nob </w:t>
      </w:r>
      <w:r w:rsidR="00341C30">
        <w:t>wa</w:t>
      </w:r>
      <w:r w:rsidR="00A4270D">
        <w:t>s also mentioned in Isa</w:t>
      </w:r>
      <w:r w:rsidR="00341C30">
        <w:t>iah</w:t>
      </w:r>
      <w:r w:rsidR="00A4270D">
        <w:t xml:space="preserve"> 10:27-32. This text implies that Nob was between Anathoth and </w:t>
      </w:r>
      <w:r w:rsidR="005B7748">
        <w:t>Jerusalem</w:t>
      </w:r>
      <w:r w:rsidR="001D3BA8">
        <w:t>.</w:t>
      </w:r>
    </w:p>
    <w:p w14:paraId="38A66CB6" w14:textId="4B9EDDCF" w:rsidR="001D3BA8" w:rsidRDefault="0005669F" w:rsidP="006655BF">
      <w:r>
        <w:t xml:space="preserve">Ahimelech had overseen the sanctuary at Shiloh (1 Sam. 14:3) but apparently was moved to Nob after Shiloh’s destruction. (Jer. 7:14) </w:t>
      </w:r>
      <w:r w:rsidR="00C56250">
        <w:t xml:space="preserve">A large body of </w:t>
      </w:r>
      <w:r w:rsidR="00635B4E">
        <w:t>priests</w:t>
      </w:r>
      <w:r w:rsidR="00C56250">
        <w:t xml:space="preserve"> served with him caring for sacred objects</w:t>
      </w:r>
      <w:r w:rsidR="00635B4E">
        <w:t xml:space="preserve"> such </w:t>
      </w:r>
      <w:r w:rsidR="004E7046">
        <w:t>as the ephod (Ex</w:t>
      </w:r>
      <w:r w:rsidR="00D9404B">
        <w:t>od</w:t>
      </w:r>
      <w:r w:rsidR="004E7046">
        <w:t xml:space="preserve">. 28:6-14), the table of </w:t>
      </w:r>
      <w:r w:rsidR="00033857">
        <w:t xml:space="preserve">Presence (Exod. 25:23-30), and even Goliath’s sword. </w:t>
      </w:r>
      <w:r w:rsidR="002534B1">
        <w:t xml:space="preserve">Doeg the </w:t>
      </w:r>
      <w:r w:rsidR="00E923A7">
        <w:t>Edomite</w:t>
      </w:r>
      <w:r w:rsidR="002534B1">
        <w:t xml:space="preserve"> slaughter</w:t>
      </w:r>
      <w:r w:rsidR="00D9404B">
        <w:t>ed</w:t>
      </w:r>
      <w:r w:rsidR="002534B1">
        <w:t xml:space="preserve"> </w:t>
      </w:r>
      <w:r w:rsidR="00BB32A5">
        <w:t xml:space="preserve">eighty-five </w:t>
      </w:r>
      <w:r w:rsidR="00D60848">
        <w:t>people</w:t>
      </w:r>
      <w:r w:rsidR="00BB32A5">
        <w:t xml:space="preserve"> who wore the ephod</w:t>
      </w:r>
      <w:r w:rsidR="00E923A7">
        <w:t>. Only one son of Ahimelech, Abiathar, escaped.</w:t>
      </w:r>
      <w:r w:rsidR="00E923A7">
        <w:rPr>
          <w:rStyle w:val="FootnoteReference"/>
        </w:rPr>
        <w:footnoteReference w:id="67"/>
      </w:r>
      <w:r w:rsidR="00E923A7">
        <w:t xml:space="preserve"> </w:t>
      </w:r>
    </w:p>
    <w:p w14:paraId="12529A1E" w14:textId="73B0EDA8" w:rsidR="00DB6CD6" w:rsidRPr="007F6A47" w:rsidRDefault="00CF25C2" w:rsidP="006655BF">
      <w:pPr>
        <w:rPr>
          <w:u w:val="single"/>
        </w:rPr>
      </w:pPr>
      <w:r w:rsidRPr="007F6A47">
        <w:rPr>
          <w:u w:val="single"/>
        </w:rPr>
        <w:t>A</w:t>
      </w:r>
      <w:r w:rsidR="007F6A47" w:rsidRPr="007F6A47">
        <w:rPr>
          <w:u w:val="single"/>
        </w:rPr>
        <w:t>himelech</w:t>
      </w:r>
    </w:p>
    <w:p w14:paraId="428CC5F6" w14:textId="35141B7E" w:rsidR="00DB6CD6" w:rsidRDefault="007931F2" w:rsidP="006655BF">
      <w:r>
        <w:t>Ahimelech</w:t>
      </w:r>
      <w:r w:rsidR="00A80C1A">
        <w:t xml:space="preserve"> was the son of Ahitub, grandson of Phineas, and the great-</w:t>
      </w:r>
      <w:r w:rsidR="00FA4058">
        <w:t>grandson</w:t>
      </w:r>
      <w:r w:rsidR="00E14491">
        <w:t xml:space="preserve"> of Eli</w:t>
      </w:r>
      <w:r w:rsidR="00D60848">
        <w:t>.</w:t>
      </w:r>
      <w:r w:rsidR="00E14491">
        <w:t xml:space="preserve"> (1 Sam. 14:3) H</w:t>
      </w:r>
      <w:r w:rsidR="00FA4058">
        <w:t>e</w:t>
      </w:r>
      <w:r w:rsidR="00E14491">
        <w:t xml:space="preserve"> was a </w:t>
      </w:r>
      <w:r w:rsidR="00984C1B">
        <w:t>leading priest</w:t>
      </w:r>
      <w:r w:rsidR="00E14491">
        <w:t xml:space="preserve"> at Nob, and he helped David by giving him </w:t>
      </w:r>
      <w:r w:rsidR="00FA4058">
        <w:t xml:space="preserve">sacred bread and Goliath’s sword. </w:t>
      </w:r>
      <w:r w:rsidR="00984C1B">
        <w:t xml:space="preserve">Saul ordered Doeg </w:t>
      </w:r>
      <w:r w:rsidR="00564747">
        <w:t>to murder</w:t>
      </w:r>
      <w:r w:rsidR="00984C1B">
        <w:t xml:space="preserve"> him and the other priests at Nob.</w:t>
      </w:r>
      <w:r w:rsidR="00984C1B">
        <w:rPr>
          <w:rStyle w:val="FootnoteReference"/>
        </w:rPr>
        <w:footnoteReference w:id="68"/>
      </w:r>
      <w:r w:rsidR="00984C1B">
        <w:t xml:space="preserve"> </w:t>
      </w:r>
    </w:p>
    <w:p w14:paraId="055A3589" w14:textId="511C4AD1" w:rsidR="00DB6CD6" w:rsidRPr="005A24CE" w:rsidRDefault="00C17E5D" w:rsidP="006655BF">
      <w:pPr>
        <w:rPr>
          <w:i/>
          <w:iCs/>
        </w:rPr>
      </w:pPr>
      <w:r w:rsidRPr="005A24CE">
        <w:rPr>
          <w:i/>
          <w:iCs/>
        </w:rPr>
        <w:t>1 Sam</w:t>
      </w:r>
      <w:r w:rsidR="006E2009">
        <w:rPr>
          <w:i/>
          <w:iCs/>
        </w:rPr>
        <w:t>.</w:t>
      </w:r>
      <w:r w:rsidRPr="005A24CE">
        <w:rPr>
          <w:i/>
          <w:iCs/>
        </w:rPr>
        <w:t xml:space="preserve"> 22</w:t>
      </w:r>
    </w:p>
    <w:p w14:paraId="678ECAB3" w14:textId="11F14E87" w:rsidR="00C17E5D" w:rsidRPr="00621F05" w:rsidRDefault="00FD09F0" w:rsidP="006655BF">
      <w:pPr>
        <w:rPr>
          <w:u w:val="single"/>
        </w:rPr>
      </w:pPr>
      <w:r w:rsidRPr="00621F05">
        <w:rPr>
          <w:u w:val="single"/>
        </w:rPr>
        <w:t>Adullam</w:t>
      </w:r>
    </w:p>
    <w:p w14:paraId="4A549E85" w14:textId="0189CC6C" w:rsidR="00FD09F0" w:rsidRDefault="00855365" w:rsidP="006655BF">
      <w:r>
        <w:t xml:space="preserve">Adullam </w:t>
      </w:r>
      <w:r w:rsidR="00B67FDC">
        <w:t>was an ancient city (Gen. 38:1, 12, 20)</w:t>
      </w:r>
      <w:r w:rsidR="00B434D2">
        <w:t xml:space="preserve"> in the low country, between the hilly country of Judah and the</w:t>
      </w:r>
      <w:r w:rsidR="00621F05">
        <w:t xml:space="preserve"> </w:t>
      </w:r>
      <w:r w:rsidR="00B434D2">
        <w:t xml:space="preserve">sea. The city was approximately thirteen miles </w:t>
      </w:r>
      <w:r w:rsidR="00564747">
        <w:t>southwest</w:t>
      </w:r>
      <w:r w:rsidR="00340863">
        <w:t xml:space="preserve"> of Bethlehem. Rehoboam fortified the city during his reign</w:t>
      </w:r>
      <w:r w:rsidR="00564747">
        <w:t>.</w:t>
      </w:r>
      <w:r w:rsidR="00340863">
        <w:t xml:space="preserve"> (2 Chron. 11:7) The city was so beautiful that Mic</w:t>
      </w:r>
      <w:r w:rsidR="00564747">
        <w:t>a</w:t>
      </w:r>
      <w:r w:rsidR="00340863">
        <w:t>h called it “the glory of Israel.” (Mic</w:t>
      </w:r>
      <w:r w:rsidR="00621F05">
        <w:t>. 1:15)</w:t>
      </w:r>
      <w:r w:rsidR="00E8466A">
        <w:rPr>
          <w:rStyle w:val="FootnoteReference"/>
        </w:rPr>
        <w:footnoteReference w:id="69"/>
      </w:r>
    </w:p>
    <w:p w14:paraId="1AAEE209" w14:textId="77EE076B" w:rsidR="00621F05" w:rsidRDefault="00621F05" w:rsidP="006655BF">
      <w:r>
        <w:t>D</w:t>
      </w:r>
      <w:r w:rsidR="00592C8D">
        <w:t xml:space="preserve">avid </w:t>
      </w:r>
      <w:r>
        <w:t>a</w:t>
      </w:r>
      <w:r w:rsidR="00592C8D">
        <w:t>n</w:t>
      </w:r>
      <w:r>
        <w:t>d his men hid in one of the many limestone caves near the city (1 Sam. 22:1-2)</w:t>
      </w:r>
      <w:r w:rsidR="00592C8D">
        <w:t xml:space="preserve"> after fleeing from Saul. For more </w:t>
      </w:r>
      <w:r w:rsidR="00D1348B">
        <w:t>information on</w:t>
      </w:r>
      <w:r w:rsidR="00592C8D">
        <w:t xml:space="preserve"> </w:t>
      </w:r>
      <w:r w:rsidR="00E8466A">
        <w:t xml:space="preserve">David’s flight </w:t>
      </w:r>
      <w:r w:rsidR="008E1DDF">
        <w:t>from</w:t>
      </w:r>
      <w:r w:rsidR="00E8466A">
        <w:t xml:space="preserve"> Saul, see </w:t>
      </w:r>
      <w:r w:rsidR="00E8466A" w:rsidRPr="009C5B72">
        <w:rPr>
          <w:u w:val="single"/>
        </w:rPr>
        <w:t>David Flees from Saul</w:t>
      </w:r>
      <w:r w:rsidR="00E8466A">
        <w:rPr>
          <w:u w:val="single"/>
        </w:rPr>
        <w:t xml:space="preserve"> </w:t>
      </w:r>
      <w:r w:rsidR="0093769D">
        <w:t>under 1 Sam. 19.</w:t>
      </w:r>
      <w:r w:rsidR="00E8466A">
        <w:t xml:space="preserve"> </w:t>
      </w:r>
    </w:p>
    <w:p w14:paraId="1CB53FB1" w14:textId="2D2A9817" w:rsidR="00CC31F1" w:rsidRPr="008E1DDF" w:rsidRDefault="008E1DDF" w:rsidP="006655BF">
      <w:pPr>
        <w:rPr>
          <w:u w:val="single"/>
        </w:rPr>
      </w:pPr>
      <w:r w:rsidRPr="008E1DDF">
        <w:rPr>
          <w:u w:val="single"/>
        </w:rPr>
        <w:lastRenderedPageBreak/>
        <w:t>A</w:t>
      </w:r>
      <w:r w:rsidR="002D1CDE">
        <w:rPr>
          <w:u w:val="single"/>
        </w:rPr>
        <w:t>biathar</w:t>
      </w:r>
    </w:p>
    <w:p w14:paraId="2A960F6E" w14:textId="5B7AB4DF" w:rsidR="008E1DDF" w:rsidRDefault="00F347C9" w:rsidP="006655BF">
      <w:r>
        <w:t>Abiathar was a priest</w:t>
      </w:r>
      <w:r w:rsidR="00926F8D">
        <w:t xml:space="preserve"> and the sole priestly survivor </w:t>
      </w:r>
      <w:r w:rsidR="00E276D2">
        <w:t>of the slaughter at Nob. He fled to David and eventually became David’s lifelong friend</w:t>
      </w:r>
      <w:r w:rsidR="00F835D8">
        <w:t xml:space="preserve"> and </w:t>
      </w:r>
      <w:r w:rsidR="003812BC">
        <w:t>the high priest</w:t>
      </w:r>
      <w:r w:rsidR="00DC00E6">
        <w:t>.</w:t>
      </w:r>
      <w:r w:rsidR="003812BC">
        <w:t xml:space="preserve"> (1 Chron. 15:11) </w:t>
      </w:r>
      <w:r w:rsidR="00F5454F">
        <w:t>During Absalom’s rebellion, Abiathar remained loyal to David. (</w:t>
      </w:r>
      <w:r w:rsidR="00E22FB6">
        <w:t xml:space="preserve">2 Sam. 15:14) </w:t>
      </w:r>
    </w:p>
    <w:p w14:paraId="13DBF47D" w14:textId="317BAAEC" w:rsidR="007E7568" w:rsidRPr="00F347C9" w:rsidRDefault="007E7568" w:rsidP="006655BF">
      <w:r>
        <w:t xml:space="preserve">After David’s death, Abiathar sided with </w:t>
      </w:r>
      <w:r w:rsidR="0029681D">
        <w:t xml:space="preserve">Adonijah in his attempt to gain the throne. </w:t>
      </w:r>
      <w:r w:rsidR="00645000">
        <w:t>Afte</w:t>
      </w:r>
      <w:r w:rsidR="00357BC1">
        <w:t>r</w:t>
      </w:r>
      <w:r w:rsidR="00645000">
        <w:t xml:space="preserve"> </w:t>
      </w:r>
      <w:r w:rsidR="00357BC1">
        <w:t>Solomon</w:t>
      </w:r>
      <w:r w:rsidR="00645000">
        <w:t xml:space="preserve"> became king, he deposed Abiathar from his office (1 K</w:t>
      </w:r>
      <w:r w:rsidR="00EE7CA5">
        <w:t>ings</w:t>
      </w:r>
      <w:r w:rsidR="00645000">
        <w:t xml:space="preserve"> 2:</w:t>
      </w:r>
      <w:r w:rsidR="005A5B06">
        <w:t>26-27</w:t>
      </w:r>
      <w:r w:rsidR="00357BC1">
        <w:t>) and</w:t>
      </w:r>
      <w:r w:rsidR="005A5B06">
        <w:t xml:space="preserve"> </w:t>
      </w:r>
      <w:r w:rsidR="00C052AF">
        <w:t>banished him to Anathoth. Abiathar was the last priest in Eli’s line</w:t>
      </w:r>
      <w:r w:rsidR="00357BC1">
        <w:t>, thus fulfilling the prophecy. (1 Sam. 2:31-35)</w:t>
      </w:r>
      <w:r w:rsidR="00357BC1">
        <w:rPr>
          <w:rStyle w:val="FootnoteReference"/>
        </w:rPr>
        <w:footnoteReference w:id="70"/>
      </w:r>
    </w:p>
    <w:p w14:paraId="3BB45C02" w14:textId="3D263180" w:rsidR="00DB6CD6" w:rsidRPr="005A24CE" w:rsidRDefault="00F91A89" w:rsidP="006655BF">
      <w:pPr>
        <w:rPr>
          <w:i/>
          <w:iCs/>
        </w:rPr>
      </w:pPr>
      <w:r w:rsidRPr="005A24CE">
        <w:rPr>
          <w:i/>
          <w:iCs/>
        </w:rPr>
        <w:t>1 Sam</w:t>
      </w:r>
      <w:r w:rsidR="006E2009">
        <w:rPr>
          <w:i/>
          <w:iCs/>
        </w:rPr>
        <w:t>.</w:t>
      </w:r>
      <w:r w:rsidRPr="005A24CE">
        <w:rPr>
          <w:i/>
          <w:iCs/>
        </w:rPr>
        <w:t xml:space="preserve"> 23</w:t>
      </w:r>
    </w:p>
    <w:p w14:paraId="6EAF8ED0" w14:textId="6C2C6A97" w:rsidR="00F91A89" w:rsidRDefault="006A5970" w:rsidP="006655BF">
      <w:pPr>
        <w:rPr>
          <w:u w:val="single"/>
        </w:rPr>
      </w:pPr>
      <w:r w:rsidRPr="00B67D6D">
        <w:rPr>
          <w:u w:val="single"/>
        </w:rPr>
        <w:t>Keliah</w:t>
      </w:r>
    </w:p>
    <w:p w14:paraId="1B234FD6" w14:textId="665ED244" w:rsidR="00B67D6D" w:rsidRPr="00B67D6D" w:rsidRDefault="00F169B9" w:rsidP="006655BF">
      <w:r>
        <w:t>Keliah was a fortified city of Judah</w:t>
      </w:r>
      <w:r w:rsidR="00485B81">
        <w:t xml:space="preserve">, </w:t>
      </w:r>
      <w:r w:rsidR="007932F9">
        <w:t>identified</w:t>
      </w:r>
      <w:r w:rsidR="00485B81">
        <w:t xml:space="preserve"> with the modern Kh</w:t>
      </w:r>
      <w:r w:rsidR="007932F9">
        <w:t xml:space="preserve">irbet, about 8.5 miles </w:t>
      </w:r>
      <w:r w:rsidR="00F64FD0">
        <w:t>northwest</w:t>
      </w:r>
      <w:r w:rsidR="007932F9">
        <w:t xml:space="preserve"> of Hebron. </w:t>
      </w:r>
      <w:r w:rsidR="00F479D7">
        <w:t>The Jewish returnees from the Exile rebuilt the city</w:t>
      </w:r>
      <w:r w:rsidR="00F64FD0">
        <w:t>.</w:t>
      </w:r>
      <w:r w:rsidR="00F479D7">
        <w:t xml:space="preserve"> (Neh. 3:17-18)</w:t>
      </w:r>
      <w:r w:rsidR="00F64FD0">
        <w:t xml:space="preserve"> </w:t>
      </w:r>
      <w:r w:rsidR="008E7433">
        <w:t>Interestingly, Keliah was one of several p</w:t>
      </w:r>
      <w:r w:rsidR="00F64770">
        <w:t>lac</w:t>
      </w:r>
      <w:r w:rsidR="008E7433">
        <w:t xml:space="preserve">es </w:t>
      </w:r>
      <w:r w:rsidR="00F64770">
        <w:t>where</w:t>
      </w:r>
      <w:r w:rsidR="008E7433">
        <w:t xml:space="preserve"> the prophet Habakkuk was said to be buried.</w:t>
      </w:r>
      <w:r w:rsidR="002560C8">
        <w:rPr>
          <w:rStyle w:val="FootnoteReference"/>
        </w:rPr>
        <w:footnoteReference w:id="71"/>
      </w:r>
      <w:r w:rsidR="00842C42">
        <w:t xml:space="preserve"> </w:t>
      </w:r>
    </w:p>
    <w:p w14:paraId="0ED1562B" w14:textId="6E3BCCD3" w:rsidR="006A5970" w:rsidRPr="00B54A0D" w:rsidRDefault="00B67D6D" w:rsidP="006655BF">
      <w:pPr>
        <w:rPr>
          <w:u w:val="single"/>
        </w:rPr>
      </w:pPr>
      <w:r w:rsidRPr="00B54A0D">
        <w:rPr>
          <w:u w:val="single"/>
        </w:rPr>
        <w:t>Ziph</w:t>
      </w:r>
      <w:r w:rsidR="00134EEA">
        <w:rPr>
          <w:u w:val="single"/>
        </w:rPr>
        <w:t>/ Ziphites</w:t>
      </w:r>
      <w:r w:rsidRPr="00B54A0D">
        <w:rPr>
          <w:u w:val="single"/>
        </w:rPr>
        <w:t xml:space="preserve"> </w:t>
      </w:r>
    </w:p>
    <w:p w14:paraId="7A2F5416" w14:textId="0D79C361" w:rsidR="002E3D32" w:rsidRDefault="0079794D" w:rsidP="006655BF">
      <w:r>
        <w:t>The desert town of Ziph</w:t>
      </w:r>
      <w:r w:rsidR="00E93E94">
        <w:t xml:space="preserve"> was built by Mesha</w:t>
      </w:r>
      <w:r w:rsidR="00911F3E">
        <w:t>,</w:t>
      </w:r>
      <w:r w:rsidR="00E93E94">
        <w:t xml:space="preserve"> the son of Caleb. (</w:t>
      </w:r>
      <w:r w:rsidR="008E0EB2">
        <w:t xml:space="preserve">1 Chron. 2:42) </w:t>
      </w:r>
      <w:r w:rsidR="005B2449">
        <w:t>Ziph was fortified by Rehoboam</w:t>
      </w:r>
      <w:r w:rsidR="00F17857">
        <w:t>.</w:t>
      </w:r>
      <w:r w:rsidR="005B2449">
        <w:t xml:space="preserve"> (2 Chron.</w:t>
      </w:r>
      <w:r w:rsidR="00D01450">
        <w:t xml:space="preserve"> 11:8) </w:t>
      </w:r>
      <w:r w:rsidR="00A9667B">
        <w:t>The wilderness of Z</w:t>
      </w:r>
      <w:r w:rsidR="00671903">
        <w:t>i</w:t>
      </w:r>
      <w:r w:rsidR="00A9667B">
        <w:t xml:space="preserve">ph </w:t>
      </w:r>
      <w:r w:rsidR="00BC0F80">
        <w:t xml:space="preserve">was </w:t>
      </w:r>
      <w:r w:rsidR="00BA40C9">
        <w:t>part</w:t>
      </w:r>
      <w:r w:rsidR="00BC0F80">
        <w:t xml:space="preserve"> of the Judean desert near to and surrounding the town of Ziph. </w:t>
      </w:r>
    </w:p>
    <w:p w14:paraId="4E06CB12" w14:textId="260EB1A5" w:rsidR="00BC0F80" w:rsidRDefault="00BC0F80" w:rsidP="006655BF">
      <w:r>
        <w:t xml:space="preserve">The Ziphites </w:t>
      </w:r>
      <w:r w:rsidR="00D331F3">
        <w:t xml:space="preserve">twice </w:t>
      </w:r>
      <w:r w:rsidR="00AF5A28">
        <w:t xml:space="preserve">revealed David’s hiding place to Saul. </w:t>
      </w:r>
      <w:r w:rsidR="0096121B">
        <w:t>Some interesting events that happened</w:t>
      </w:r>
      <w:r w:rsidR="0075013F">
        <w:t xml:space="preserve"> at </w:t>
      </w:r>
      <w:r w:rsidR="0096121B">
        <w:t xml:space="preserve">Ziph included </w:t>
      </w:r>
      <w:r w:rsidR="0075013F">
        <w:t xml:space="preserve">the </w:t>
      </w:r>
      <w:r w:rsidR="0096121B">
        <w:t>farewell</w:t>
      </w:r>
      <w:r w:rsidR="0075013F">
        <w:t xml:space="preserve"> </w:t>
      </w:r>
      <w:r w:rsidR="00171081">
        <w:t xml:space="preserve">interview between David and Jonathan, </w:t>
      </w:r>
      <w:r w:rsidR="00717D71">
        <w:t>David sparing Saul’s life</w:t>
      </w:r>
      <w:r w:rsidR="00105AC1">
        <w:t>, and the temporary relenting of Saul</w:t>
      </w:r>
      <w:r w:rsidR="0096121B">
        <w:t>.</w:t>
      </w:r>
      <w:r w:rsidR="0096121B">
        <w:rPr>
          <w:rStyle w:val="FootnoteReference"/>
        </w:rPr>
        <w:footnoteReference w:id="72"/>
      </w:r>
    </w:p>
    <w:p w14:paraId="58338EFF" w14:textId="7B89371A" w:rsidR="00B14639" w:rsidRPr="005A24CE" w:rsidRDefault="00B14639" w:rsidP="006655BF">
      <w:pPr>
        <w:rPr>
          <w:i/>
          <w:iCs/>
        </w:rPr>
      </w:pPr>
      <w:r w:rsidRPr="005A24CE">
        <w:rPr>
          <w:i/>
          <w:iCs/>
        </w:rPr>
        <w:t>1 Sam</w:t>
      </w:r>
      <w:r w:rsidR="006E2009">
        <w:rPr>
          <w:i/>
          <w:iCs/>
        </w:rPr>
        <w:t>.</w:t>
      </w:r>
      <w:r w:rsidRPr="005A24CE">
        <w:rPr>
          <w:i/>
          <w:iCs/>
        </w:rPr>
        <w:t xml:space="preserve"> 24</w:t>
      </w:r>
    </w:p>
    <w:p w14:paraId="4865100A" w14:textId="5AAA133C" w:rsidR="00B14639" w:rsidRPr="00B231C9" w:rsidRDefault="00B231C9" w:rsidP="006655BF">
      <w:pPr>
        <w:rPr>
          <w:u w:val="single"/>
        </w:rPr>
      </w:pPr>
      <w:r w:rsidRPr="00B231C9">
        <w:rPr>
          <w:u w:val="single"/>
        </w:rPr>
        <w:t>Corner of Saul’s robe</w:t>
      </w:r>
    </w:p>
    <w:p w14:paraId="668E13E1" w14:textId="22747B2D" w:rsidR="002A4459" w:rsidRDefault="00C81E11" w:rsidP="002A4459">
      <w:r>
        <w:t>Bergen discusses the importance of David cutting the corner of Saul’s robe when he writes,</w:t>
      </w:r>
    </w:p>
    <w:p w14:paraId="10070B7D" w14:textId="622C62C0" w:rsidR="00DB6CD6" w:rsidRDefault="002A3BE3" w:rsidP="002A4459">
      <w:pPr>
        <w:ind w:left="720"/>
      </w:pPr>
      <w:r>
        <w:t xml:space="preserve">This act was far from meaningless </w:t>
      </w:r>
      <w:r w:rsidR="00147F70">
        <w:t xml:space="preserve">because David’s confiscation of a portion of the </w:t>
      </w:r>
      <w:r w:rsidR="002A4459">
        <w:t>royal</w:t>
      </w:r>
      <w:r w:rsidR="00147F70">
        <w:t xml:space="preserve"> robe signified the transfer of power from the house of Saul </w:t>
      </w:r>
      <w:r w:rsidR="002A4459">
        <w:t>to the</w:t>
      </w:r>
      <w:r w:rsidR="00147F70">
        <w:t xml:space="preserve"> house of David. Furthermore, by removing the corner of the robe, </w:t>
      </w:r>
      <w:r w:rsidR="002A4459">
        <w:t>David</w:t>
      </w:r>
      <w:r w:rsidR="00147F70">
        <w:t xml:space="preserve"> made Saul</w:t>
      </w:r>
      <w:r w:rsidR="008A1FEE">
        <w:t>’s robe to be in a state of noncompliance with Torah requirements (cf. Num</w:t>
      </w:r>
      <w:r w:rsidR="00BE318A">
        <w:t>.</w:t>
      </w:r>
      <w:r w:rsidR="008A1FEE">
        <w:t xml:space="preserve"> 15:38-39; Deut</w:t>
      </w:r>
      <w:r w:rsidR="00BE318A">
        <w:t>.</w:t>
      </w:r>
      <w:r w:rsidR="008A1FEE">
        <w:t xml:space="preserve"> 22:12); thus, Saul’s most obvious symbol of kingship was made unwearable. In essence, David had </w:t>
      </w:r>
      <w:r w:rsidR="008A1FEE">
        <w:lastRenderedPageBreak/>
        <w:t>symbolically</w:t>
      </w:r>
      <w:r w:rsidR="00C357CF">
        <w:t xml:space="preserve"> </w:t>
      </w:r>
      <w:r w:rsidR="002A4459">
        <w:t>invalidated</w:t>
      </w:r>
      <w:r w:rsidR="00C357CF">
        <w:t xml:space="preserve"> Saul’s claim to kingship. David immediately recognized the powerful implications of this act and was </w:t>
      </w:r>
      <w:r w:rsidR="0007228A">
        <w:t>conscience-stricken</w:t>
      </w:r>
      <w:r w:rsidR="00C357CF">
        <w:t xml:space="preserve"> (v. 5</w:t>
      </w:r>
      <w:r w:rsidR="002A4459">
        <w:t>; HB v. 6).</w:t>
      </w:r>
      <w:r w:rsidR="00C81E11">
        <w:rPr>
          <w:rStyle w:val="FootnoteReference"/>
        </w:rPr>
        <w:footnoteReference w:id="73"/>
      </w:r>
    </w:p>
    <w:p w14:paraId="1D60B178" w14:textId="7D45D855" w:rsidR="00DB6CD6" w:rsidRPr="005A24CE" w:rsidRDefault="00EC542F" w:rsidP="006655BF">
      <w:pPr>
        <w:rPr>
          <w:i/>
          <w:iCs/>
        </w:rPr>
      </w:pPr>
      <w:r w:rsidRPr="005A24CE">
        <w:rPr>
          <w:i/>
          <w:iCs/>
        </w:rPr>
        <w:t>1 Sam</w:t>
      </w:r>
      <w:r w:rsidR="006E2009">
        <w:rPr>
          <w:i/>
          <w:iCs/>
        </w:rPr>
        <w:t>.</w:t>
      </w:r>
      <w:r w:rsidRPr="005A24CE">
        <w:rPr>
          <w:i/>
          <w:iCs/>
        </w:rPr>
        <w:t xml:space="preserve"> 25 </w:t>
      </w:r>
    </w:p>
    <w:p w14:paraId="6588ECFA" w14:textId="32CAFDEB" w:rsidR="00EC542F" w:rsidRPr="007A5CAD" w:rsidRDefault="008F3AAD" w:rsidP="006655BF">
      <w:pPr>
        <w:rPr>
          <w:u w:val="single"/>
        </w:rPr>
      </w:pPr>
      <w:r w:rsidRPr="007A5CAD">
        <w:rPr>
          <w:u w:val="single"/>
        </w:rPr>
        <w:t>Abig</w:t>
      </w:r>
      <w:r w:rsidR="009353B2" w:rsidRPr="007A5CAD">
        <w:rPr>
          <w:u w:val="single"/>
        </w:rPr>
        <w:t>ail</w:t>
      </w:r>
    </w:p>
    <w:p w14:paraId="1BD3C27A" w14:textId="7B9901C2" w:rsidR="009353B2" w:rsidRDefault="009353B2" w:rsidP="006655BF">
      <w:r>
        <w:t>Abigail was the wife of Nabal, who was an evil Calebite</w:t>
      </w:r>
      <w:r w:rsidR="00805749">
        <w:t>.</w:t>
      </w:r>
      <w:r>
        <w:t xml:space="preserve"> (1 Sam. 25:2) </w:t>
      </w:r>
      <w:r w:rsidR="00693BD9">
        <w:t xml:space="preserve">Nabal insulted David, but Abigail </w:t>
      </w:r>
      <w:r w:rsidR="007A5CAD">
        <w:t>intervened</w:t>
      </w:r>
      <w:r w:rsidR="00693BD9">
        <w:t xml:space="preserve"> and brought gifts to David and his men</w:t>
      </w:r>
      <w:r w:rsidR="008B429A">
        <w:t>.</w:t>
      </w:r>
      <w:r w:rsidR="00693BD9">
        <w:t xml:space="preserve"> (1 Sam. </w:t>
      </w:r>
      <w:r w:rsidR="007A5CAD">
        <w:t>25:18-19) She eventually married David</w:t>
      </w:r>
      <w:r w:rsidR="0007228A">
        <w:t xml:space="preserve"> after Nabal’s death</w:t>
      </w:r>
      <w:r w:rsidR="007A5CAD">
        <w:t xml:space="preserve"> and bore David’s </w:t>
      </w:r>
      <w:r w:rsidR="00586F32">
        <w:t>second</w:t>
      </w:r>
      <w:r w:rsidR="007A5CAD">
        <w:t xml:space="preserve"> son</w:t>
      </w:r>
      <w:r w:rsidR="009C68B7">
        <w:t>.</w:t>
      </w:r>
      <w:r w:rsidR="007A5CAD">
        <w:t xml:space="preserve"> (2 Sam. 3:3) </w:t>
      </w:r>
      <w:r w:rsidR="00586F32">
        <w:t>She was captured, along with the rest of David’s family</w:t>
      </w:r>
      <w:r w:rsidR="0007228A">
        <w:t>,</w:t>
      </w:r>
      <w:r w:rsidR="00586F32">
        <w:t xml:space="preserve"> by the Amalekites but was eventually rescued by David. (1 Sam. 30:18)</w:t>
      </w:r>
      <w:r w:rsidR="00586F32">
        <w:rPr>
          <w:rStyle w:val="FootnoteReference"/>
        </w:rPr>
        <w:footnoteReference w:id="74"/>
      </w:r>
    </w:p>
    <w:p w14:paraId="05541563" w14:textId="5A13D4F5" w:rsidR="00DB6CD6" w:rsidRPr="005A24CE" w:rsidRDefault="008006C3" w:rsidP="006655BF">
      <w:pPr>
        <w:rPr>
          <w:i/>
          <w:iCs/>
        </w:rPr>
      </w:pPr>
      <w:r w:rsidRPr="005A24CE">
        <w:rPr>
          <w:i/>
          <w:iCs/>
        </w:rPr>
        <w:t>1 Sam</w:t>
      </w:r>
      <w:r w:rsidR="006E2009">
        <w:rPr>
          <w:i/>
          <w:iCs/>
        </w:rPr>
        <w:t>.</w:t>
      </w:r>
      <w:r w:rsidRPr="005A24CE">
        <w:rPr>
          <w:i/>
          <w:iCs/>
        </w:rPr>
        <w:t xml:space="preserve"> 26</w:t>
      </w:r>
    </w:p>
    <w:p w14:paraId="533C11B7" w14:textId="741A0FA3" w:rsidR="008006C3" w:rsidRDefault="00F23292" w:rsidP="006655BF">
      <w:pPr>
        <w:rPr>
          <w:u w:val="single"/>
        </w:rPr>
      </w:pPr>
      <w:r w:rsidRPr="007F6A47">
        <w:rPr>
          <w:u w:val="single"/>
        </w:rPr>
        <w:t>Ahimelech</w:t>
      </w:r>
      <w:r>
        <w:rPr>
          <w:u w:val="single"/>
        </w:rPr>
        <w:t xml:space="preserve"> the Hittite </w:t>
      </w:r>
    </w:p>
    <w:p w14:paraId="1CD0D62B" w14:textId="3E976F37" w:rsidR="00F23292" w:rsidRPr="0001742B" w:rsidRDefault="0001742B" w:rsidP="006655BF">
      <w:r>
        <w:t>Ahim</w:t>
      </w:r>
      <w:r w:rsidR="00BB49CD">
        <w:t>elech the Hittite is mentioned nowhere else in Scripture. He was one of D</w:t>
      </w:r>
      <w:r w:rsidR="00744FAB">
        <w:t>a</w:t>
      </w:r>
      <w:r w:rsidR="00BB49CD">
        <w:t xml:space="preserve">vid’s </w:t>
      </w:r>
      <w:r w:rsidR="00464F12">
        <w:t>warriors</w:t>
      </w:r>
      <w:r w:rsidR="00744FAB">
        <w:t>, and</w:t>
      </w:r>
      <w:r w:rsidR="00464F12">
        <w:t xml:space="preserve"> </w:t>
      </w:r>
      <w:r w:rsidR="00744FAB">
        <w:t>according to 1 Samuel 26:</w:t>
      </w:r>
      <w:r w:rsidR="00D6012C">
        <w:t>6, David invited him to accompany him into Saul’s camp in the wilderness of Z</w:t>
      </w:r>
      <w:r w:rsidR="008271DE">
        <w:t xml:space="preserve">iph. </w:t>
      </w:r>
      <w:r w:rsidR="004C4618">
        <w:t>It seems that he did not go with David, as the text only names Abis</w:t>
      </w:r>
      <w:r w:rsidR="00B460C6">
        <w:t>hai as accompanying David.</w:t>
      </w:r>
      <w:r w:rsidR="00B460C6">
        <w:rPr>
          <w:rStyle w:val="FootnoteReference"/>
        </w:rPr>
        <w:footnoteReference w:id="75"/>
      </w:r>
    </w:p>
    <w:p w14:paraId="799DAFD6" w14:textId="45DDA63A" w:rsidR="00DB6CD6" w:rsidRPr="005A24CE" w:rsidRDefault="00C13EA6" w:rsidP="006655BF">
      <w:pPr>
        <w:rPr>
          <w:i/>
          <w:iCs/>
        </w:rPr>
      </w:pPr>
      <w:r w:rsidRPr="005A24CE">
        <w:rPr>
          <w:i/>
          <w:iCs/>
        </w:rPr>
        <w:t>1 Sam</w:t>
      </w:r>
      <w:r w:rsidR="006E2009">
        <w:rPr>
          <w:i/>
          <w:iCs/>
        </w:rPr>
        <w:t>.</w:t>
      </w:r>
      <w:r w:rsidR="00906B6E" w:rsidRPr="005A24CE">
        <w:rPr>
          <w:i/>
          <w:iCs/>
        </w:rPr>
        <w:t xml:space="preserve"> 27</w:t>
      </w:r>
    </w:p>
    <w:p w14:paraId="50AD9FE9" w14:textId="1EC7A17C" w:rsidR="00AB0C14" w:rsidRPr="002F2FD1" w:rsidRDefault="00AB0C14" w:rsidP="006655BF">
      <w:pPr>
        <w:rPr>
          <w:u w:val="single"/>
        </w:rPr>
      </w:pPr>
      <w:r w:rsidRPr="002F2FD1">
        <w:rPr>
          <w:u w:val="single"/>
        </w:rPr>
        <w:t>Ziklag</w:t>
      </w:r>
    </w:p>
    <w:p w14:paraId="4DEC3D0E" w14:textId="5397C8CD" w:rsidR="00EA502C" w:rsidRDefault="007D5BAE" w:rsidP="006655BF">
      <w:r>
        <w:t xml:space="preserve">The city was certainly situated in the Negev, but the exact location is unknown. </w:t>
      </w:r>
      <w:r w:rsidR="009E5677">
        <w:t xml:space="preserve">Some have connected it to </w:t>
      </w:r>
      <w:r w:rsidR="004E3288">
        <w:t xml:space="preserve">Tell-esh </w:t>
      </w:r>
      <w:r w:rsidR="008A0D6A">
        <w:t>Shari’a (</w:t>
      </w:r>
      <w:r w:rsidR="00FA74EA">
        <w:t xml:space="preserve">15 miles </w:t>
      </w:r>
      <w:r w:rsidR="00156F75">
        <w:t>southe</w:t>
      </w:r>
      <w:r w:rsidR="009138C8">
        <w:t>ast</w:t>
      </w:r>
      <w:r w:rsidR="00FA74EA">
        <w:t xml:space="preserve"> of Gaza)</w:t>
      </w:r>
      <w:r w:rsidR="008A0D6A">
        <w:rPr>
          <w:rStyle w:val="FootnoteReference"/>
        </w:rPr>
        <w:footnoteReference w:id="76"/>
      </w:r>
      <w:r w:rsidR="00FA74EA">
        <w:t xml:space="preserve"> and </w:t>
      </w:r>
      <w:r w:rsidR="00286746">
        <w:t>others</w:t>
      </w:r>
      <w:r w:rsidR="00FA74EA">
        <w:t xml:space="preserve"> to </w:t>
      </w:r>
      <w:r w:rsidR="009E5677">
        <w:t>Tell el-Khuweilfeh</w:t>
      </w:r>
      <w:r w:rsidR="008705A6">
        <w:t xml:space="preserve"> </w:t>
      </w:r>
      <w:r w:rsidR="00FA74EA">
        <w:t>(</w:t>
      </w:r>
      <w:r w:rsidR="00226BB5">
        <w:t xml:space="preserve">10 miles </w:t>
      </w:r>
      <w:r w:rsidR="009138C8">
        <w:t xml:space="preserve">east </w:t>
      </w:r>
      <w:r w:rsidR="00226BB5">
        <w:t xml:space="preserve">of </w:t>
      </w:r>
      <w:r w:rsidR="004B5891">
        <w:t>Te</w:t>
      </w:r>
      <w:r w:rsidR="00226BB5">
        <w:t>ll-esh Shari’a)</w:t>
      </w:r>
      <w:r w:rsidR="009F12EB">
        <w:t>.</w:t>
      </w:r>
      <w:r w:rsidR="008A0D6A">
        <w:rPr>
          <w:rStyle w:val="FootnoteReference"/>
        </w:rPr>
        <w:footnoteReference w:id="77"/>
      </w:r>
      <w:r w:rsidR="009F12EB">
        <w:t xml:space="preserve"> </w:t>
      </w:r>
      <w:r w:rsidR="00F74DBD">
        <w:t xml:space="preserve">According </w:t>
      </w:r>
      <w:r w:rsidR="00EA502C">
        <w:t>to Josh</w:t>
      </w:r>
      <w:r w:rsidR="009138C8">
        <w:t>ua</w:t>
      </w:r>
      <w:r w:rsidR="00EA502C">
        <w:t xml:space="preserve"> 19:5, Ziklag </w:t>
      </w:r>
      <w:r w:rsidR="00226BB5">
        <w:t>was given</w:t>
      </w:r>
      <w:r w:rsidR="00EA502C">
        <w:t xml:space="preserve"> to the tribe of Simeon. </w:t>
      </w:r>
    </w:p>
    <w:p w14:paraId="0F0C14CB" w14:textId="06BECC88" w:rsidR="009A1D5C" w:rsidRDefault="005824DD" w:rsidP="006655BF">
      <w:r>
        <w:t xml:space="preserve">The Philistines controlled the city from the early twelfth century until David’s </w:t>
      </w:r>
      <w:r w:rsidR="00515243">
        <w:t>time.</w:t>
      </w:r>
      <w:r w:rsidR="003724D7">
        <w:t xml:space="preserve"> </w:t>
      </w:r>
      <w:r w:rsidR="00D30209">
        <w:t>The king of Gath, Akish, gave Ziklag to David</w:t>
      </w:r>
      <w:r w:rsidR="003724D7">
        <w:t xml:space="preserve">, who used it as his base for raids. (1 Sam. </w:t>
      </w:r>
      <w:r w:rsidR="002F2FD1">
        <w:t xml:space="preserve">27:6) </w:t>
      </w:r>
      <w:r w:rsidR="00410B71">
        <w:t>The A</w:t>
      </w:r>
      <w:r w:rsidR="00034B7F">
        <w:t>malekites sacked Ziklag and took its people and possessions</w:t>
      </w:r>
      <w:r w:rsidR="003279E8">
        <w:t>, including David’s wives</w:t>
      </w:r>
      <w:r w:rsidR="00034B7F">
        <w:t>. David pursue</w:t>
      </w:r>
      <w:r w:rsidR="009138C8">
        <w:t>d</w:t>
      </w:r>
      <w:r w:rsidR="00034B7F">
        <w:t xml:space="preserve"> and eventually rescue</w:t>
      </w:r>
      <w:r w:rsidR="009138C8">
        <w:t>d</w:t>
      </w:r>
      <w:r w:rsidR="00034B7F">
        <w:t xml:space="preserve"> the people and </w:t>
      </w:r>
      <w:r w:rsidR="00FB0FA8">
        <w:t>their</w:t>
      </w:r>
      <w:r w:rsidR="003279E8">
        <w:t xml:space="preserve"> belongings. </w:t>
      </w:r>
    </w:p>
    <w:p w14:paraId="0B997A79" w14:textId="397B97F5" w:rsidR="009B13EF" w:rsidRDefault="00A73BE6" w:rsidP="006655BF">
      <w:r>
        <w:t>According to 2 Samual 1:1; 4:10</w:t>
      </w:r>
      <w:r w:rsidR="009E0C8E">
        <w:t>, David receive</w:t>
      </w:r>
      <w:r w:rsidR="009138C8">
        <w:t>d</w:t>
      </w:r>
      <w:r w:rsidR="009E0C8E">
        <w:t xml:space="preserve"> word of Saul’s death while at Ziklag. The city stayed in Israelite control, and Ziklag was even named as one of the </w:t>
      </w:r>
      <w:r w:rsidR="004B5891">
        <w:t>cities</w:t>
      </w:r>
      <w:r w:rsidR="009E0C8E">
        <w:t xml:space="preserve"> that was reoccupied after </w:t>
      </w:r>
      <w:r w:rsidR="004B5891">
        <w:t xml:space="preserve">the Exile. (Neh. 11:28) </w:t>
      </w:r>
    </w:p>
    <w:p w14:paraId="49C4E971" w14:textId="66AD9C24" w:rsidR="00AB0C14" w:rsidRPr="00513B6C" w:rsidRDefault="009B13EF" w:rsidP="006655BF">
      <w:pPr>
        <w:rPr>
          <w:u w:val="single"/>
        </w:rPr>
      </w:pPr>
      <w:r w:rsidRPr="00513B6C">
        <w:rPr>
          <w:u w:val="single"/>
        </w:rPr>
        <w:lastRenderedPageBreak/>
        <w:t>Geshurites</w:t>
      </w:r>
      <w:r w:rsidR="0032661A" w:rsidRPr="00513B6C">
        <w:rPr>
          <w:u w:val="single"/>
        </w:rPr>
        <w:t xml:space="preserve">, </w:t>
      </w:r>
      <w:r w:rsidR="00513B6C" w:rsidRPr="00513B6C">
        <w:rPr>
          <w:u w:val="single"/>
        </w:rPr>
        <w:t>Amalekites, and Girzites</w:t>
      </w:r>
      <w:r w:rsidRPr="00513B6C">
        <w:rPr>
          <w:u w:val="single"/>
        </w:rPr>
        <w:t xml:space="preserve"> </w:t>
      </w:r>
    </w:p>
    <w:p w14:paraId="0942C03E" w14:textId="318E86AD" w:rsidR="009A1D5C" w:rsidRDefault="00877D0C" w:rsidP="0079272F">
      <w:pPr>
        <w:pStyle w:val="ListParagraph"/>
        <w:numPr>
          <w:ilvl w:val="0"/>
          <w:numId w:val="24"/>
        </w:numPr>
      </w:pPr>
      <w:r>
        <w:t xml:space="preserve">The </w:t>
      </w:r>
      <w:r w:rsidR="0079272F">
        <w:t>Geshurites</w:t>
      </w:r>
      <w:r w:rsidR="00897D3F">
        <w:t xml:space="preserve"> were included in Judah’s </w:t>
      </w:r>
      <w:r w:rsidR="00813747">
        <w:t>tribal</w:t>
      </w:r>
      <w:r w:rsidR="00897D3F">
        <w:t xml:space="preserve"> allotment, but the Israelites had failed to </w:t>
      </w:r>
      <w:r w:rsidR="00813747">
        <w:t xml:space="preserve">gain control of the region. (Josh. 13:1-2) </w:t>
      </w:r>
    </w:p>
    <w:p w14:paraId="3FC84504" w14:textId="54AA87BA" w:rsidR="00877D0C" w:rsidRDefault="00877D0C" w:rsidP="0079272F">
      <w:pPr>
        <w:pStyle w:val="ListParagraph"/>
        <w:numPr>
          <w:ilvl w:val="0"/>
          <w:numId w:val="24"/>
        </w:numPr>
      </w:pPr>
      <w:r>
        <w:t xml:space="preserve">The Amalekites </w:t>
      </w:r>
      <w:r w:rsidR="002A2179">
        <w:t>were supposed to be destroyed by Israel</w:t>
      </w:r>
      <w:r w:rsidR="00844A43">
        <w:t>.</w:t>
      </w:r>
      <w:r w:rsidR="002A2179">
        <w:t xml:space="preserve"> (Ex</w:t>
      </w:r>
      <w:r w:rsidR="00844A43">
        <w:t>od</w:t>
      </w:r>
      <w:r w:rsidR="002A2179">
        <w:t>. 17:15-16; Deut. 25:17-19)</w:t>
      </w:r>
      <w:r w:rsidR="00AB4D86">
        <w:t xml:space="preserve"> Saul also failed to accomplish this task</w:t>
      </w:r>
      <w:r w:rsidR="00C96BCF">
        <w:t>.</w:t>
      </w:r>
      <w:r w:rsidR="00AB4D86">
        <w:t xml:space="preserve"> (1 Sam</w:t>
      </w:r>
      <w:r w:rsidR="00C96BCF">
        <w:t>.</w:t>
      </w:r>
      <w:r w:rsidR="00AB4D86">
        <w:t xml:space="preserve"> 15) </w:t>
      </w:r>
    </w:p>
    <w:p w14:paraId="10DD52F5" w14:textId="49CD2FE4" w:rsidR="006C3C1C" w:rsidRDefault="00076614" w:rsidP="0079272F">
      <w:pPr>
        <w:pStyle w:val="ListParagraph"/>
        <w:numPr>
          <w:ilvl w:val="0"/>
          <w:numId w:val="24"/>
        </w:numPr>
      </w:pPr>
      <w:r>
        <w:t xml:space="preserve">The Girzites are unknown. The text says that they, along with the Geshurites and Amalekites, </w:t>
      </w:r>
      <w:r w:rsidR="002D4D89">
        <w:t xml:space="preserve">“were inhabitants of the land from </w:t>
      </w:r>
      <w:r w:rsidR="00C34FF6">
        <w:t>of old, as far as Shur, to the land of Egypt.” So, the Girzites</w:t>
      </w:r>
      <w:r w:rsidR="00C96BCF">
        <w:t>’</w:t>
      </w:r>
      <w:r w:rsidR="00C34FF6">
        <w:t xml:space="preserve"> </w:t>
      </w:r>
      <w:r w:rsidR="0033268D">
        <w:t>territory, at least partially, belonged to Judah.</w:t>
      </w:r>
    </w:p>
    <w:p w14:paraId="0C6F74C6" w14:textId="646B1928" w:rsidR="00076614" w:rsidRDefault="006C3C1C" w:rsidP="006C3C1C">
      <w:r>
        <w:t xml:space="preserve">Why </w:t>
      </w:r>
      <w:r w:rsidR="00C877EE">
        <w:t>did</w:t>
      </w:r>
      <w:r>
        <w:t xml:space="preserve"> David raid</w:t>
      </w:r>
      <w:r w:rsidR="00432C7B">
        <w:t xml:space="preserve"> and destroy</w:t>
      </w:r>
      <w:r>
        <w:t xml:space="preserve"> these cities? According to </w:t>
      </w:r>
      <w:r w:rsidR="00493044">
        <w:t>Bergen, “</w:t>
      </w:r>
      <w:r w:rsidR="0043298C">
        <w:t xml:space="preserve">David was out from under the watchful eye of Achish. </w:t>
      </w:r>
      <w:r w:rsidR="000D3F46">
        <w:t xml:space="preserve">Ever the faithful servant to </w:t>
      </w:r>
      <w:r w:rsidR="0043298C">
        <w:t>the Lord</w:t>
      </w:r>
      <w:r w:rsidR="000D3F46">
        <w:t xml:space="preserve">, David used </w:t>
      </w:r>
      <w:r w:rsidR="0043298C">
        <w:t xml:space="preserve">this opportunity </w:t>
      </w:r>
      <w:r w:rsidR="00130A01">
        <w:t xml:space="preserve">to pursue the Torah mandate to conquer the </w:t>
      </w:r>
      <w:r w:rsidR="00A4736C">
        <w:t>P</w:t>
      </w:r>
      <w:r w:rsidR="00130A01">
        <w:t>romised Land.</w:t>
      </w:r>
      <w:r w:rsidR="00493044">
        <w:t>”</w:t>
      </w:r>
      <w:r w:rsidR="00D23F7C">
        <w:rPr>
          <w:rStyle w:val="FootnoteReference"/>
        </w:rPr>
        <w:footnoteReference w:id="78"/>
      </w:r>
      <w:r w:rsidR="00493044">
        <w:t xml:space="preserve"> He continues </w:t>
      </w:r>
      <w:r w:rsidR="00585C80">
        <w:t xml:space="preserve">by </w:t>
      </w:r>
      <w:r w:rsidR="00DF5E47">
        <w:t>saying that all three of these cities “were under the ban commanded by the Toah (Deut. 20:16-17); none of them was to be s</w:t>
      </w:r>
      <w:r w:rsidR="002153C4">
        <w:t>pa</w:t>
      </w:r>
      <w:r w:rsidR="00DF5E47">
        <w:t>red by the Israelites in warfare.</w:t>
      </w:r>
      <w:r w:rsidR="00E50651">
        <w:rPr>
          <w:rStyle w:val="FootnoteReference"/>
        </w:rPr>
        <w:footnoteReference w:id="79"/>
      </w:r>
      <w:r w:rsidR="00DF5E47">
        <w:t xml:space="preserve"> This is why David</w:t>
      </w:r>
      <w:r w:rsidR="00973EDE">
        <w:t>, according to 1 Samuel 27:</w:t>
      </w:r>
      <w:r w:rsidR="002153C4">
        <w:t>11</w:t>
      </w:r>
      <w:r w:rsidR="00973EDE">
        <w:t xml:space="preserve">, “would not leave man or woman alive” when </w:t>
      </w:r>
      <w:r w:rsidR="00D23F7C">
        <w:t xml:space="preserve">he </w:t>
      </w:r>
      <w:r w:rsidR="00973EDE">
        <w:t xml:space="preserve">attacked these locations. </w:t>
      </w:r>
    </w:p>
    <w:p w14:paraId="6891BDD8" w14:textId="633ED623" w:rsidR="009B13EF" w:rsidRPr="005A24CE" w:rsidRDefault="00D94799" w:rsidP="006655BF">
      <w:pPr>
        <w:rPr>
          <w:i/>
          <w:iCs/>
        </w:rPr>
      </w:pPr>
      <w:r w:rsidRPr="005A24CE">
        <w:rPr>
          <w:i/>
          <w:iCs/>
        </w:rPr>
        <w:t>1 Sam</w:t>
      </w:r>
      <w:r w:rsidR="006E2009">
        <w:rPr>
          <w:i/>
          <w:iCs/>
        </w:rPr>
        <w:t>.</w:t>
      </w:r>
      <w:r w:rsidRPr="005A24CE">
        <w:rPr>
          <w:i/>
          <w:iCs/>
        </w:rPr>
        <w:t xml:space="preserve"> 28</w:t>
      </w:r>
    </w:p>
    <w:p w14:paraId="718EE553" w14:textId="118CB6FF" w:rsidR="00340C0A" w:rsidRPr="00131AA4" w:rsidRDefault="00340C0A" w:rsidP="006655BF">
      <w:pPr>
        <w:rPr>
          <w:u w:val="single"/>
        </w:rPr>
      </w:pPr>
      <w:r w:rsidRPr="00131AA4">
        <w:rPr>
          <w:u w:val="single"/>
        </w:rPr>
        <w:t>The Medium</w:t>
      </w:r>
      <w:r w:rsidR="00FC5302" w:rsidRPr="00131AA4">
        <w:rPr>
          <w:u w:val="single"/>
        </w:rPr>
        <w:t xml:space="preserve"> of En-dor </w:t>
      </w:r>
    </w:p>
    <w:p w14:paraId="24D8157D" w14:textId="4041AF3E" w:rsidR="00DB6CD6" w:rsidRDefault="00CF58FC" w:rsidP="006655BF">
      <w:r>
        <w:t xml:space="preserve">After receiving no word from the Lord, Saul and two bodyguards </w:t>
      </w:r>
      <w:r w:rsidR="00E025BE">
        <w:t>went</w:t>
      </w:r>
      <w:r>
        <w:t xml:space="preserve"> to a medium at En-dor.</w:t>
      </w:r>
      <w:r w:rsidR="00093621">
        <w:rPr>
          <w:rStyle w:val="FootnoteReference"/>
        </w:rPr>
        <w:footnoteReference w:id="80"/>
      </w:r>
      <w:r w:rsidR="00093621">
        <w:t xml:space="preserve"> </w:t>
      </w:r>
      <w:r w:rsidR="0039700F">
        <w:t xml:space="preserve">This sort of activity </w:t>
      </w:r>
      <w:r w:rsidR="00E025BE">
        <w:t>wa</w:t>
      </w:r>
      <w:r w:rsidR="0039700F">
        <w:t>s what the Philistines did (1 Sam. 6:2</w:t>
      </w:r>
      <w:r w:rsidR="00E025BE">
        <w:t>) but</w:t>
      </w:r>
      <w:r w:rsidR="0039700F">
        <w:t xml:space="preserve"> was strictly prohibited </w:t>
      </w:r>
      <w:r w:rsidR="00093621">
        <w:t>by the Torah. (Deut. 18:10)</w:t>
      </w:r>
      <w:r w:rsidR="00131AA4">
        <w:rPr>
          <w:rStyle w:val="FootnoteReference"/>
        </w:rPr>
        <w:footnoteReference w:id="81"/>
      </w:r>
    </w:p>
    <w:p w14:paraId="15F9E5F2" w14:textId="7BB0F396" w:rsidR="00ED27FC" w:rsidRDefault="00456DC6" w:rsidP="006655BF">
      <w:r>
        <w:t>Did the medium actually contact a person, and if so</w:t>
      </w:r>
      <w:r w:rsidR="00585C80">
        <w:t>,</w:t>
      </w:r>
      <w:r>
        <w:t xml:space="preserve"> was that person really Samuel? </w:t>
      </w:r>
      <w:r w:rsidR="008010F8">
        <w:t>Bergen makes the following observations:</w:t>
      </w:r>
    </w:p>
    <w:p w14:paraId="6507EA84" w14:textId="48B36477" w:rsidR="008010F8" w:rsidRDefault="008010F8" w:rsidP="008010F8">
      <w:pPr>
        <w:pStyle w:val="ListParagraph"/>
        <w:numPr>
          <w:ilvl w:val="0"/>
          <w:numId w:val="25"/>
        </w:numPr>
      </w:pPr>
      <w:r>
        <w:t>The plain statement of the Hebrew text is that she did</w:t>
      </w:r>
      <w:r w:rsidR="00585C80">
        <w:t>, in fact,</w:t>
      </w:r>
      <w:r>
        <w:t xml:space="preserve"> see Samuel.</w:t>
      </w:r>
    </w:p>
    <w:p w14:paraId="12901A04" w14:textId="2671FDB0" w:rsidR="008010F8" w:rsidRDefault="008010F8" w:rsidP="008010F8">
      <w:pPr>
        <w:pStyle w:val="ListParagraph"/>
        <w:numPr>
          <w:ilvl w:val="0"/>
          <w:numId w:val="25"/>
        </w:numPr>
      </w:pPr>
      <w:r>
        <w:t xml:space="preserve">The medium </w:t>
      </w:r>
      <w:r w:rsidR="009D5F55">
        <w:t>reacted</w:t>
      </w:r>
      <w:r>
        <w:t xml:space="preserve"> to Samuel’s appearance as though it was genuine</w:t>
      </w:r>
      <w:r w:rsidR="00084B81">
        <w:t>….</w:t>
      </w:r>
      <w:r w:rsidR="004C5EA3">
        <w:t xml:space="preserve"> Her strong reaction also </w:t>
      </w:r>
      <w:r w:rsidR="006A4DBC">
        <w:t>suggests</w:t>
      </w:r>
      <w:r w:rsidR="004C5EA3">
        <w:t xml:space="preserve"> that Samuel’s appearance </w:t>
      </w:r>
      <w:r w:rsidR="00084B81">
        <w:t>w</w:t>
      </w:r>
      <w:r w:rsidR="004C5EA3">
        <w:t>as unex</w:t>
      </w:r>
      <w:r w:rsidR="0094306E">
        <w:t>pected; perhaps this was the first time she had ever actually succeeded in contacting the dead.</w:t>
      </w:r>
    </w:p>
    <w:p w14:paraId="589459C8" w14:textId="7FE036BB" w:rsidR="0094306E" w:rsidRDefault="00B900C7" w:rsidP="008010F8">
      <w:pPr>
        <w:pStyle w:val="ListParagraph"/>
        <w:numPr>
          <w:ilvl w:val="0"/>
          <w:numId w:val="25"/>
        </w:numPr>
      </w:pPr>
      <w:r>
        <w:t xml:space="preserve">The speeches </w:t>
      </w:r>
      <w:r w:rsidR="009462F2">
        <w:t>attributed to Sam</w:t>
      </w:r>
      <w:r w:rsidR="00084B81">
        <w:t>u</w:t>
      </w:r>
      <w:r w:rsidR="009462F2">
        <w:t>el contained allusion</w:t>
      </w:r>
      <w:r w:rsidR="003C7594">
        <w:t>s</w:t>
      </w:r>
      <w:r w:rsidR="009462F2">
        <w:t xml:space="preserve"> to a prior interchange between the two….</w:t>
      </w:r>
    </w:p>
    <w:p w14:paraId="1B5AD638" w14:textId="7C18D906" w:rsidR="009462F2" w:rsidRDefault="009462F2" w:rsidP="008010F8">
      <w:pPr>
        <w:pStyle w:val="ListParagraph"/>
        <w:numPr>
          <w:ilvl w:val="0"/>
          <w:numId w:val="25"/>
        </w:numPr>
      </w:pPr>
      <w:r>
        <w:t xml:space="preserve">Samuel’s role and </w:t>
      </w:r>
      <w:r w:rsidR="009D5F55">
        <w:t>message</w:t>
      </w:r>
      <w:r>
        <w:t xml:space="preserve"> as a prophet</w:t>
      </w:r>
      <w:r w:rsidR="009D5F55">
        <w:t>… was unchanged in his encounter with Saul here.</w:t>
      </w:r>
      <w:r w:rsidR="009D5F55">
        <w:rPr>
          <w:rStyle w:val="FootnoteReference"/>
        </w:rPr>
        <w:footnoteReference w:id="82"/>
      </w:r>
    </w:p>
    <w:p w14:paraId="4275CDD9" w14:textId="575B1C12" w:rsidR="00DB6CD6" w:rsidRDefault="006A4DBC" w:rsidP="006655BF">
      <w:r>
        <w:lastRenderedPageBreak/>
        <w:t xml:space="preserve">At least two views could be argued from the text. First, it may be possible </w:t>
      </w:r>
      <w:r w:rsidR="00C269DF">
        <w:t xml:space="preserve">for mediums to contact dead people and establish lines of communication between the living and the dead. Second, </w:t>
      </w:r>
      <w:r w:rsidR="00FA721A">
        <w:t xml:space="preserve">the situation in this text could be seen as a unique act of God that </w:t>
      </w:r>
      <w:r w:rsidR="00837B4F">
        <w:t>brought Samuel into contact with Saul.</w:t>
      </w:r>
      <w:r w:rsidR="00201B7A">
        <w:rPr>
          <w:rStyle w:val="FootnoteReference"/>
        </w:rPr>
        <w:footnoteReference w:id="83"/>
      </w:r>
    </w:p>
    <w:p w14:paraId="5246FDD1" w14:textId="7CA9D919" w:rsidR="00DB6CD6" w:rsidRPr="005A24CE" w:rsidRDefault="00AB2D63" w:rsidP="006655BF">
      <w:pPr>
        <w:rPr>
          <w:i/>
          <w:iCs/>
        </w:rPr>
      </w:pPr>
      <w:r w:rsidRPr="005A24CE">
        <w:rPr>
          <w:i/>
          <w:iCs/>
        </w:rPr>
        <w:t>1 Sam</w:t>
      </w:r>
      <w:r w:rsidR="006E2009">
        <w:rPr>
          <w:i/>
          <w:iCs/>
        </w:rPr>
        <w:t>.</w:t>
      </w:r>
      <w:r w:rsidRPr="005A24CE">
        <w:rPr>
          <w:i/>
          <w:iCs/>
        </w:rPr>
        <w:t xml:space="preserve"> 29 </w:t>
      </w:r>
    </w:p>
    <w:p w14:paraId="706F95BE" w14:textId="50FA535C" w:rsidR="00AB2D63" w:rsidRPr="00785642" w:rsidRDefault="00055BBA" w:rsidP="006655BF">
      <w:pPr>
        <w:rPr>
          <w:u w:val="single"/>
        </w:rPr>
      </w:pPr>
      <w:r w:rsidRPr="00785642">
        <w:rPr>
          <w:u w:val="single"/>
        </w:rPr>
        <w:t>Ziklag</w:t>
      </w:r>
    </w:p>
    <w:p w14:paraId="50651B1E" w14:textId="50372729" w:rsidR="00055BBA" w:rsidRDefault="00055BBA" w:rsidP="006655BF">
      <w:r>
        <w:t xml:space="preserve">See </w:t>
      </w:r>
      <w:r w:rsidR="006866EA" w:rsidRPr="006866EA">
        <w:rPr>
          <w:u w:val="single"/>
        </w:rPr>
        <w:t>Ziklag</w:t>
      </w:r>
      <w:r>
        <w:t xml:space="preserve"> under </w:t>
      </w:r>
      <w:r w:rsidR="00785642">
        <w:t>1 Sam</w:t>
      </w:r>
      <w:r w:rsidR="006866EA">
        <w:t>.</w:t>
      </w:r>
      <w:r w:rsidR="00785642">
        <w:t xml:space="preserve"> 27. </w:t>
      </w:r>
    </w:p>
    <w:p w14:paraId="53D82CAF" w14:textId="77777777" w:rsidR="00917216" w:rsidRDefault="00917216" w:rsidP="00917216">
      <w:pPr>
        <w:rPr>
          <w:u w:val="single"/>
        </w:rPr>
      </w:pPr>
      <w:r w:rsidRPr="00CD3DD8">
        <w:rPr>
          <w:u w:val="single"/>
        </w:rPr>
        <w:t>Thousands…and ten thousands</w:t>
      </w:r>
    </w:p>
    <w:p w14:paraId="3B62AEC9" w14:textId="26742188" w:rsidR="00917216" w:rsidRPr="006E2009" w:rsidRDefault="00917216" w:rsidP="006655BF">
      <w:pPr>
        <w:rPr>
          <w:u w:val="single"/>
        </w:rPr>
      </w:pPr>
      <w:r>
        <w:t xml:space="preserve">See </w:t>
      </w:r>
      <w:r w:rsidR="006E2009" w:rsidRPr="00CD3DD8">
        <w:rPr>
          <w:u w:val="single"/>
        </w:rPr>
        <w:t>Thousands…and ten thousands</w:t>
      </w:r>
      <w:r w:rsidR="006E2009" w:rsidRPr="006E2009">
        <w:t xml:space="preserve"> </w:t>
      </w:r>
      <w:r>
        <w:t>under 1 Sam</w:t>
      </w:r>
      <w:r w:rsidR="006866EA">
        <w:t>.</w:t>
      </w:r>
      <w:r>
        <w:t xml:space="preserve"> 18. </w:t>
      </w:r>
    </w:p>
    <w:p w14:paraId="56F7803D" w14:textId="5235662C" w:rsidR="00917216" w:rsidRPr="005A24CE" w:rsidRDefault="00917216" w:rsidP="006655BF">
      <w:pPr>
        <w:rPr>
          <w:i/>
          <w:iCs/>
        </w:rPr>
      </w:pPr>
      <w:r w:rsidRPr="005A24CE">
        <w:rPr>
          <w:i/>
          <w:iCs/>
        </w:rPr>
        <w:t>1 Sam</w:t>
      </w:r>
      <w:r w:rsidR="006E2009">
        <w:rPr>
          <w:i/>
          <w:iCs/>
        </w:rPr>
        <w:t>.</w:t>
      </w:r>
      <w:r w:rsidRPr="005A24CE">
        <w:rPr>
          <w:i/>
          <w:iCs/>
        </w:rPr>
        <w:t xml:space="preserve"> 30 </w:t>
      </w:r>
    </w:p>
    <w:p w14:paraId="4E0245D0" w14:textId="259E877C" w:rsidR="00917216" w:rsidRPr="00CF4DE5" w:rsidRDefault="005455A0" w:rsidP="006655BF">
      <w:pPr>
        <w:rPr>
          <w:u w:val="single"/>
        </w:rPr>
      </w:pPr>
      <w:r w:rsidRPr="00CF4DE5">
        <w:rPr>
          <w:u w:val="single"/>
        </w:rPr>
        <w:t xml:space="preserve">Abiathar </w:t>
      </w:r>
    </w:p>
    <w:p w14:paraId="66960A3F" w14:textId="6EE6380B" w:rsidR="005455A0" w:rsidRDefault="005455A0" w:rsidP="006655BF">
      <w:r>
        <w:t xml:space="preserve">See </w:t>
      </w:r>
      <w:r w:rsidR="006E2009" w:rsidRPr="006E2009">
        <w:rPr>
          <w:u w:val="single"/>
        </w:rPr>
        <w:t>Abi</w:t>
      </w:r>
      <w:r w:rsidR="006E2009">
        <w:rPr>
          <w:u w:val="single"/>
        </w:rPr>
        <w:t>a</w:t>
      </w:r>
      <w:r w:rsidR="006E2009" w:rsidRPr="006E2009">
        <w:rPr>
          <w:u w:val="single"/>
        </w:rPr>
        <w:t>thar</w:t>
      </w:r>
      <w:r>
        <w:t xml:space="preserve"> </w:t>
      </w:r>
      <w:r w:rsidR="00CF4DE5">
        <w:t>under 1 Sam</w:t>
      </w:r>
      <w:r w:rsidR="006866EA">
        <w:t>.</w:t>
      </w:r>
      <w:r w:rsidR="00CF4DE5">
        <w:t xml:space="preserve"> 22. </w:t>
      </w:r>
    </w:p>
    <w:p w14:paraId="6A12CFBF" w14:textId="77777777" w:rsidR="00B34C87" w:rsidRDefault="00B34C87" w:rsidP="00B34C87">
      <w:pPr>
        <w:rPr>
          <w:u w:val="single"/>
        </w:rPr>
      </w:pPr>
      <w:r w:rsidRPr="00917216">
        <w:rPr>
          <w:u w:val="single"/>
        </w:rPr>
        <w:t>Amalekites</w:t>
      </w:r>
    </w:p>
    <w:p w14:paraId="6EB8B630" w14:textId="1100EA45" w:rsidR="00B34C87" w:rsidRDefault="00B34C87" w:rsidP="00B34C87">
      <w:r>
        <w:t xml:space="preserve">See </w:t>
      </w:r>
      <w:r w:rsidR="006E2009" w:rsidRPr="006E2009">
        <w:rPr>
          <w:u w:val="single"/>
        </w:rPr>
        <w:t>Amalekites</w:t>
      </w:r>
      <w:r>
        <w:t xml:space="preserve"> under 1 Sam</w:t>
      </w:r>
      <w:r w:rsidR="006866EA">
        <w:t>.</w:t>
      </w:r>
      <w:r>
        <w:t xml:space="preserve"> 15. </w:t>
      </w:r>
    </w:p>
    <w:p w14:paraId="1A32E3E7" w14:textId="1AFA92DD" w:rsidR="00CF4DE5" w:rsidRPr="005A24CE" w:rsidRDefault="00B34C87" w:rsidP="006655BF">
      <w:pPr>
        <w:rPr>
          <w:i/>
          <w:iCs/>
        </w:rPr>
      </w:pPr>
      <w:r w:rsidRPr="005A24CE">
        <w:rPr>
          <w:i/>
          <w:iCs/>
        </w:rPr>
        <w:t>1 Sam</w:t>
      </w:r>
      <w:r w:rsidR="006E2009">
        <w:rPr>
          <w:i/>
          <w:iCs/>
        </w:rPr>
        <w:t>.</w:t>
      </w:r>
      <w:r w:rsidRPr="005A24CE">
        <w:rPr>
          <w:i/>
          <w:iCs/>
        </w:rPr>
        <w:t xml:space="preserve"> 31</w:t>
      </w:r>
    </w:p>
    <w:p w14:paraId="1C8FBC8F" w14:textId="4A292846" w:rsidR="00B34C87" w:rsidRPr="004438C8" w:rsidRDefault="0011124C" w:rsidP="006655BF">
      <w:pPr>
        <w:rPr>
          <w:u w:val="single"/>
        </w:rPr>
      </w:pPr>
      <w:r w:rsidRPr="004438C8">
        <w:rPr>
          <w:u w:val="single"/>
        </w:rPr>
        <w:t xml:space="preserve">Mount Gilboa </w:t>
      </w:r>
    </w:p>
    <w:p w14:paraId="5F5F7FB6" w14:textId="522592D1" w:rsidR="0011124C" w:rsidRDefault="002B7AE1" w:rsidP="006655BF">
      <w:r>
        <w:t xml:space="preserve">Mount Gilboa is </w:t>
      </w:r>
      <w:r w:rsidR="007972C5">
        <w:t>associated with the modern Jebel Fuqu</w:t>
      </w:r>
      <w:r w:rsidR="00B94FC3">
        <w:t>s</w:t>
      </w:r>
      <w:r w:rsidR="007972C5">
        <w:t xml:space="preserve"> </w:t>
      </w:r>
      <w:r w:rsidR="00C058EC">
        <w:t>(</w:t>
      </w:r>
      <w:r w:rsidR="00DC2A86">
        <w:t xml:space="preserve">about 7 miles </w:t>
      </w:r>
      <w:r w:rsidR="002F4413">
        <w:t>west</w:t>
      </w:r>
      <w:r w:rsidR="00DC2A86">
        <w:t xml:space="preserve"> of Beth</w:t>
      </w:r>
      <w:r w:rsidR="00C058EC">
        <w:t xml:space="preserve"> Shan), </w:t>
      </w:r>
      <w:r w:rsidR="007972C5">
        <w:t xml:space="preserve">which is a ridge of limestone hills reaching 1,737 feet above the </w:t>
      </w:r>
      <w:r w:rsidR="004438C8">
        <w:t>Mediterranean</w:t>
      </w:r>
      <w:r w:rsidR="007972C5">
        <w:t xml:space="preserve">. </w:t>
      </w:r>
      <w:r w:rsidR="00C22C82">
        <w:t>The mountain is on the eastern side of the Plains of Esdra</w:t>
      </w:r>
      <w:r w:rsidR="00B94FC3">
        <w:t xml:space="preserve">elon. </w:t>
      </w:r>
    </w:p>
    <w:p w14:paraId="0A38AC2C" w14:textId="520E2766" w:rsidR="00B06F82" w:rsidRDefault="00081CFC" w:rsidP="006655BF">
      <w:r>
        <w:t xml:space="preserve">In reference to </w:t>
      </w:r>
      <w:r w:rsidR="002158A4">
        <w:t xml:space="preserve">the battle discussed in 1 Samuel 31, Reed states, </w:t>
      </w:r>
      <w:r w:rsidR="00B06F82">
        <w:t xml:space="preserve">“In choosing to </w:t>
      </w:r>
      <w:r w:rsidR="004E61E8">
        <w:t>defend Gilboa against the Philistines, Saul was taking advantage of the heights offered by the mount where the superior equipment of the enemy would be less effective.”</w:t>
      </w:r>
      <w:r w:rsidR="004E61E8">
        <w:rPr>
          <w:rStyle w:val="FootnoteReference"/>
        </w:rPr>
        <w:footnoteReference w:id="84"/>
      </w:r>
      <w:r w:rsidR="004E61E8">
        <w:t xml:space="preserve"> </w:t>
      </w:r>
      <w:r w:rsidR="00F175E0">
        <w:t>Saul and his sons, including Jonathan, were slain</w:t>
      </w:r>
      <w:r>
        <w:t xml:space="preserve"> on the mountain</w:t>
      </w:r>
      <w:r w:rsidR="006866EA">
        <w:t>.</w:t>
      </w:r>
      <w:r>
        <w:t xml:space="preserve"> (1 Sam. 31:1, 8) </w:t>
      </w:r>
    </w:p>
    <w:p w14:paraId="64C019A1" w14:textId="77777777" w:rsidR="00861BDB" w:rsidRDefault="00861BDB" w:rsidP="006655BF">
      <w:pPr>
        <w:rPr>
          <w:u w:val="single"/>
        </w:rPr>
      </w:pPr>
      <w:r>
        <w:rPr>
          <w:u w:val="single"/>
        </w:rPr>
        <w:t>Saul’s Death</w:t>
      </w:r>
    </w:p>
    <w:p w14:paraId="09ECAFAE" w14:textId="040A6892" w:rsidR="00861BDB" w:rsidRPr="00C95DDD" w:rsidRDefault="00861BDB" w:rsidP="006655BF">
      <w:pPr>
        <w:rPr>
          <w:u w:val="single"/>
        </w:rPr>
      </w:pPr>
      <w:r>
        <w:t xml:space="preserve">See </w:t>
      </w:r>
      <w:r w:rsidR="00C95DDD">
        <w:rPr>
          <w:u w:val="single"/>
        </w:rPr>
        <w:t xml:space="preserve">Saul’s Death </w:t>
      </w:r>
      <w:r>
        <w:t>under 2 Sam</w:t>
      </w:r>
      <w:r w:rsidR="006866EA">
        <w:t>.</w:t>
      </w:r>
      <w:r>
        <w:t xml:space="preserve"> 1. </w:t>
      </w:r>
    </w:p>
    <w:p w14:paraId="1CFDA5E6" w14:textId="38A415FF" w:rsidR="00DB6CD6" w:rsidRDefault="003821E9" w:rsidP="006655BF">
      <w:pPr>
        <w:rPr>
          <w:u w:val="single"/>
        </w:rPr>
      </w:pPr>
      <w:r w:rsidRPr="003821E9">
        <w:rPr>
          <w:u w:val="single"/>
        </w:rPr>
        <w:t xml:space="preserve">Beth Shan (Shean) </w:t>
      </w:r>
    </w:p>
    <w:p w14:paraId="4DC5FEEA" w14:textId="4C67FEA7" w:rsidR="003821E9" w:rsidRPr="00F32252" w:rsidRDefault="00F32252" w:rsidP="006655BF">
      <w:r>
        <w:t xml:space="preserve">Beth Shan was a fortified city on the crossroad of the Jezreel and Jordan valley. </w:t>
      </w:r>
      <w:r w:rsidR="0096081B">
        <w:t xml:space="preserve">The bodies of Saul and his sons were hung on the walls of the city. </w:t>
      </w:r>
      <w:r w:rsidR="00F32932">
        <w:t>A temple to the god</w:t>
      </w:r>
      <w:r w:rsidR="00C91FAA">
        <w:t>dess</w:t>
      </w:r>
      <w:r w:rsidR="00F32932">
        <w:t xml:space="preserve"> Ashtaroth was located here</w:t>
      </w:r>
      <w:r w:rsidR="006866EA">
        <w:t>.</w:t>
      </w:r>
      <w:r w:rsidR="00F32932">
        <w:t xml:space="preserve"> (1 Sam</w:t>
      </w:r>
      <w:r w:rsidR="006866EA">
        <w:t>.</w:t>
      </w:r>
      <w:r w:rsidR="00F32932">
        <w:t xml:space="preserve"> 31:10)</w:t>
      </w:r>
      <w:r w:rsidR="00ED0BC8">
        <w:t xml:space="preserve"> The city </w:t>
      </w:r>
      <w:r w:rsidR="008D118C">
        <w:t xml:space="preserve">was rebuilt in the </w:t>
      </w:r>
      <w:r w:rsidR="00D348A0">
        <w:t>Hellenistic</w:t>
      </w:r>
      <w:r w:rsidR="008D118C">
        <w:t xml:space="preserve"> period and renamed </w:t>
      </w:r>
      <w:r w:rsidR="008D118C">
        <w:lastRenderedPageBreak/>
        <w:t>Scyth</w:t>
      </w:r>
      <w:r w:rsidR="00D348A0">
        <w:t>o</w:t>
      </w:r>
      <w:r w:rsidR="008D118C">
        <w:t xml:space="preserve">polis, which became one of the cities of the Decapolis. </w:t>
      </w:r>
      <w:r w:rsidR="00D348A0">
        <w:t xml:space="preserve">The city is identified with Tell el-Husn, which is next to the Harod </w:t>
      </w:r>
      <w:r w:rsidR="006866EA">
        <w:t>S</w:t>
      </w:r>
      <w:r w:rsidR="00D348A0">
        <w:t>tream.</w:t>
      </w:r>
      <w:r w:rsidR="00D348A0">
        <w:rPr>
          <w:rStyle w:val="FootnoteReference"/>
        </w:rPr>
        <w:footnoteReference w:id="85"/>
      </w:r>
    </w:p>
    <w:p w14:paraId="3D070202" w14:textId="529EC312" w:rsidR="00C91FAA" w:rsidRDefault="00C91FAA" w:rsidP="006655BF">
      <w:pPr>
        <w:rPr>
          <w:u w:val="single"/>
        </w:rPr>
      </w:pPr>
      <w:r w:rsidRPr="00C91FAA">
        <w:rPr>
          <w:u w:val="single"/>
        </w:rPr>
        <w:t>Ashtaroth</w:t>
      </w:r>
    </w:p>
    <w:p w14:paraId="2A7553F5" w14:textId="468EBABA" w:rsidR="00D204C4" w:rsidRPr="005A24CE" w:rsidRDefault="00313652" w:rsidP="005A24CE">
      <w:r>
        <w:t>Ashtaroth</w:t>
      </w:r>
      <w:r w:rsidR="0015524B">
        <w:t xml:space="preserve"> was one </w:t>
      </w:r>
      <w:r w:rsidR="005E16BF">
        <w:t>of</w:t>
      </w:r>
      <w:r w:rsidR="0015524B">
        <w:t xml:space="preserve"> the three great </w:t>
      </w:r>
      <w:r w:rsidR="005E16BF">
        <w:t>Canaanite</w:t>
      </w:r>
      <w:r w:rsidR="0015524B">
        <w:t xml:space="preserve"> goddesses. She was a</w:t>
      </w:r>
      <w:r w:rsidR="005E16BF">
        <w:t xml:space="preserve"> </w:t>
      </w:r>
      <w:r w:rsidR="0086432B">
        <w:t>goddess</w:t>
      </w:r>
      <w:r w:rsidR="0015524B">
        <w:t xml:space="preserve"> of </w:t>
      </w:r>
      <w:r w:rsidR="005E16BF">
        <w:t>fertility and love (</w:t>
      </w:r>
      <w:r w:rsidR="0086432B">
        <w:t>her Greek counterpart was Aphrodite</w:t>
      </w:r>
      <w:r w:rsidR="00114691">
        <w:t>) and</w:t>
      </w:r>
      <w:r w:rsidR="0086432B">
        <w:t xml:space="preserve"> was also associated with war. </w:t>
      </w:r>
      <w:r w:rsidR="00114691">
        <w:t xml:space="preserve">The Bible condemns </w:t>
      </w:r>
      <w:r w:rsidR="003F49F5">
        <w:t xml:space="preserve">the </w:t>
      </w:r>
      <w:r w:rsidR="00114691">
        <w:t xml:space="preserve">worship of her repeatedly. </w:t>
      </w:r>
      <w:r w:rsidR="005F0B12">
        <w:t>(i.e. Jud</w:t>
      </w:r>
      <w:r w:rsidR="004B5072">
        <w:t>g</w:t>
      </w:r>
      <w:r w:rsidR="005F0B12">
        <w:t>. 2:13-14</w:t>
      </w:r>
      <w:r w:rsidR="00337B1D">
        <w:t xml:space="preserve">; 10:6-7) Solomon </w:t>
      </w:r>
      <w:r w:rsidR="004B5072">
        <w:t>wa</w:t>
      </w:r>
      <w:r w:rsidR="00337B1D">
        <w:t xml:space="preserve">s </w:t>
      </w:r>
      <w:r w:rsidR="007E27F1">
        <w:t>criticized</w:t>
      </w:r>
      <w:r w:rsidR="00337B1D">
        <w:t xml:space="preserve"> for worshiping her, and the prophet Jeremiah </w:t>
      </w:r>
      <w:r w:rsidR="003F49F5">
        <w:t>condemned</w:t>
      </w:r>
      <w:r w:rsidR="007E27F1">
        <w:t xml:space="preserve"> the people for making sacrifices to </w:t>
      </w:r>
      <w:r w:rsidR="00220F65">
        <w:t xml:space="preserve">the </w:t>
      </w:r>
      <w:r w:rsidR="007E27F1">
        <w:t>“Queen of Heaven</w:t>
      </w:r>
      <w:r w:rsidR="00220F65">
        <w:t>,</w:t>
      </w:r>
      <w:r w:rsidR="007E27F1">
        <w:t>”</w:t>
      </w:r>
      <w:r w:rsidR="00220F65">
        <w:t xml:space="preserve"> which was a syncretism of Astarte and Ishtar.</w:t>
      </w:r>
      <w:r w:rsidR="0097062D">
        <w:rPr>
          <w:rStyle w:val="FootnoteReference"/>
        </w:rPr>
        <w:footnoteReference w:id="86"/>
      </w:r>
    </w:p>
    <w:p w14:paraId="6026ACD9" w14:textId="2D5A80CC" w:rsidR="00D204C4" w:rsidRPr="00D204C4" w:rsidRDefault="00D204C4" w:rsidP="00D204C4">
      <w:pPr>
        <w:jc w:val="center"/>
        <w:rPr>
          <w:b/>
          <w:bCs/>
        </w:rPr>
      </w:pPr>
      <w:r w:rsidRPr="00D204C4">
        <w:rPr>
          <w:b/>
          <w:bCs/>
        </w:rPr>
        <w:t xml:space="preserve">Background and Contextual Information for Each Chapter of 2 Samuel </w:t>
      </w:r>
    </w:p>
    <w:p w14:paraId="69B99514" w14:textId="42A7B320" w:rsidR="00926AA8" w:rsidRPr="005A24CE" w:rsidRDefault="00926AA8" w:rsidP="00926AA8">
      <w:pPr>
        <w:rPr>
          <w:i/>
          <w:iCs/>
        </w:rPr>
      </w:pPr>
      <w:r w:rsidRPr="005A24CE">
        <w:rPr>
          <w:i/>
          <w:iCs/>
        </w:rPr>
        <w:t>2 Sam</w:t>
      </w:r>
      <w:r w:rsidR="006E2009">
        <w:rPr>
          <w:i/>
          <w:iCs/>
        </w:rPr>
        <w:t>.</w:t>
      </w:r>
      <w:r w:rsidRPr="005A24CE">
        <w:rPr>
          <w:i/>
          <w:iCs/>
        </w:rPr>
        <w:t xml:space="preserve"> 1 </w:t>
      </w:r>
    </w:p>
    <w:p w14:paraId="14523613" w14:textId="75367BB4" w:rsidR="00926AA8" w:rsidRPr="002E727C" w:rsidRDefault="00EA7122" w:rsidP="00926AA8">
      <w:pPr>
        <w:rPr>
          <w:u w:val="single"/>
        </w:rPr>
      </w:pPr>
      <w:r w:rsidRPr="002E727C">
        <w:rPr>
          <w:u w:val="single"/>
        </w:rPr>
        <w:t xml:space="preserve">Saul’s Death </w:t>
      </w:r>
    </w:p>
    <w:p w14:paraId="7E4AF1FD" w14:textId="28692302" w:rsidR="007172DA" w:rsidRDefault="003858D4" w:rsidP="00926AA8">
      <w:r>
        <w:t xml:space="preserve">In </w:t>
      </w:r>
      <w:r w:rsidR="002E727C">
        <w:t>1 Sam</w:t>
      </w:r>
      <w:r w:rsidR="00FD0A05">
        <w:t>uel</w:t>
      </w:r>
      <w:r w:rsidR="002E727C">
        <w:t xml:space="preserve"> 31</w:t>
      </w:r>
      <w:r>
        <w:t xml:space="preserve">, the writer </w:t>
      </w:r>
      <w:r w:rsidR="00FD0A05">
        <w:t>indicate</w:t>
      </w:r>
      <w:r w:rsidR="004C03A7">
        <w:t>d</w:t>
      </w:r>
      <w:r w:rsidR="00FD0A05">
        <w:t xml:space="preserve"> that Saul “fell upon” his own sword (1 Sam. 31:4); however, in </w:t>
      </w:r>
      <w:r w:rsidR="00612CDA">
        <w:t>2 Samuel 1:</w:t>
      </w:r>
      <w:r w:rsidR="00EB3E26">
        <w:t>10</w:t>
      </w:r>
      <w:r w:rsidR="00A40B99">
        <w:t>,</w:t>
      </w:r>
      <w:r w:rsidR="00EB3E26">
        <w:t xml:space="preserve"> the Amalekite recount</w:t>
      </w:r>
      <w:r w:rsidR="004C03A7">
        <w:t>ed</w:t>
      </w:r>
      <w:r w:rsidR="00EB3E26">
        <w:t xml:space="preserve"> that he</w:t>
      </w:r>
      <w:r w:rsidR="00274F72">
        <w:t xml:space="preserve"> killed Saul by saying, “S</w:t>
      </w:r>
      <w:r w:rsidR="007172DA">
        <w:t>o</w:t>
      </w:r>
      <w:r w:rsidR="00274F72">
        <w:t xml:space="preserve"> I stood </w:t>
      </w:r>
      <w:r w:rsidR="007172DA">
        <w:t>beside</w:t>
      </w:r>
      <w:r w:rsidR="00274F72">
        <w:t xml:space="preserve"> him and killed him.” </w:t>
      </w:r>
    </w:p>
    <w:p w14:paraId="52860FB2" w14:textId="799ABEA4" w:rsidR="00612A09" w:rsidRDefault="007172DA" w:rsidP="00926AA8">
      <w:r>
        <w:t xml:space="preserve">How do we make sense of these, seemingly contradictory, reports of Saul’s death? </w:t>
      </w:r>
      <w:r w:rsidR="001263D6">
        <w:t xml:space="preserve">Generally speaking, scholars fall into three camps on this issue. Some argue that the Amalekite </w:t>
      </w:r>
      <w:r w:rsidR="00DD04B1">
        <w:t xml:space="preserve">made the story up. </w:t>
      </w:r>
      <w:r w:rsidR="00612A09">
        <w:t>Others</w:t>
      </w:r>
      <w:r w:rsidR="00DD04B1">
        <w:t xml:space="preserve"> accept the Amalekite’s story as a truthful account of what happened. </w:t>
      </w:r>
      <w:r w:rsidR="00542FC9">
        <w:t>O</w:t>
      </w:r>
      <w:r w:rsidR="00DD04B1">
        <w:t xml:space="preserve">thers </w:t>
      </w:r>
      <w:r w:rsidR="00041B82">
        <w:t xml:space="preserve">argue that there is no way to be sure about the historicity of the </w:t>
      </w:r>
      <w:r w:rsidR="00612A09">
        <w:t xml:space="preserve">episode with the Amalekite. </w:t>
      </w:r>
    </w:p>
    <w:p w14:paraId="36810B54" w14:textId="0D7F2A31" w:rsidR="00861BDB" w:rsidRDefault="0003437A" w:rsidP="00926AA8">
      <w:r>
        <w:t xml:space="preserve">The following is a brief sampling of some of these </w:t>
      </w:r>
      <w:r w:rsidR="004120EF">
        <w:t>scholarly opinions:</w:t>
      </w:r>
    </w:p>
    <w:p w14:paraId="22A959A4" w14:textId="089AA317" w:rsidR="004120EF" w:rsidRDefault="00500700" w:rsidP="004120EF">
      <w:pPr>
        <w:pStyle w:val="ListParagraph"/>
        <w:numPr>
          <w:ilvl w:val="0"/>
          <w:numId w:val="26"/>
        </w:numPr>
      </w:pPr>
      <w:r>
        <w:t xml:space="preserve">Joyce G. </w:t>
      </w:r>
      <w:r w:rsidR="007F6BC4">
        <w:t>Baldwin</w:t>
      </w:r>
      <w:r w:rsidR="0089233A">
        <w:t>: “The reader knows that his story does not tally with the events already recorded.”</w:t>
      </w:r>
      <w:r w:rsidR="0089233A" w:rsidRPr="00376922">
        <w:t xml:space="preserve"> (</w:t>
      </w:r>
      <w:r w:rsidR="0089233A" w:rsidRPr="0042110B">
        <w:rPr>
          <w:i/>
          <w:iCs/>
        </w:rPr>
        <w:t xml:space="preserve">1 and 2 </w:t>
      </w:r>
      <w:r w:rsidR="0089700A" w:rsidRPr="0042110B">
        <w:rPr>
          <w:i/>
          <w:iCs/>
        </w:rPr>
        <w:t>Samuel</w:t>
      </w:r>
      <w:r w:rsidR="0089233A">
        <w:t>,</w:t>
      </w:r>
      <w:r w:rsidR="00BB6BD7">
        <w:t xml:space="preserve"> Tyndale Old Testament </w:t>
      </w:r>
      <w:r>
        <w:t>Commentaries, Vol. 8</w:t>
      </w:r>
      <w:r w:rsidR="0089233A">
        <w:t xml:space="preserve"> </w:t>
      </w:r>
      <w:r w:rsidR="0089700A">
        <w:t xml:space="preserve">[Leicester: </w:t>
      </w:r>
      <w:r w:rsidR="0042110B">
        <w:t>InterVarsity</w:t>
      </w:r>
      <w:r w:rsidR="0089700A">
        <w:t>, 1988], 176)</w:t>
      </w:r>
    </w:p>
    <w:p w14:paraId="570EAA84" w14:textId="72EF1FF6" w:rsidR="0089700A" w:rsidRDefault="0050230E" w:rsidP="004120EF">
      <w:pPr>
        <w:pStyle w:val="ListParagraph"/>
        <w:numPr>
          <w:ilvl w:val="0"/>
          <w:numId w:val="26"/>
        </w:numPr>
      </w:pPr>
      <w:r>
        <w:t xml:space="preserve">P. Kyle </w:t>
      </w:r>
      <w:r w:rsidR="00205632">
        <w:t>McCarter</w:t>
      </w:r>
      <w:r>
        <w:t xml:space="preserve"> Jr.:</w:t>
      </w:r>
      <w:r w:rsidR="00205632">
        <w:t xml:space="preserve"> “The contradiction is deliberate, a result of the writer’s self-conscious portrayal of the Amalekite messenger as a </w:t>
      </w:r>
      <w:r w:rsidR="00DD533C">
        <w:t>liar.” (</w:t>
      </w:r>
      <w:r w:rsidR="00DD533C">
        <w:rPr>
          <w:i/>
          <w:iCs/>
        </w:rPr>
        <w:t>II Samuel</w:t>
      </w:r>
      <w:r w:rsidR="00DD533C">
        <w:t xml:space="preserve">, </w:t>
      </w:r>
      <w:r w:rsidR="005B77E6">
        <w:t>The Anchor Bible, Vol. 9</w:t>
      </w:r>
      <w:r w:rsidR="00F9671F">
        <w:t xml:space="preserve"> [</w:t>
      </w:r>
      <w:r w:rsidR="008F5775">
        <w:t xml:space="preserve">New Haven: </w:t>
      </w:r>
      <w:r w:rsidR="00B73060">
        <w:t>Yale University Press</w:t>
      </w:r>
      <w:r w:rsidR="008F5775">
        <w:t xml:space="preserve">, </w:t>
      </w:r>
      <w:r w:rsidR="00C64B92">
        <w:t xml:space="preserve">1984], </w:t>
      </w:r>
      <w:r w:rsidR="00DD533C">
        <w:t>64)</w:t>
      </w:r>
    </w:p>
    <w:p w14:paraId="29C348F6" w14:textId="3B1FE281" w:rsidR="00DD533C" w:rsidRDefault="00A95B56" w:rsidP="00DD533C">
      <w:pPr>
        <w:pStyle w:val="ListParagraph"/>
        <w:numPr>
          <w:ilvl w:val="0"/>
          <w:numId w:val="26"/>
        </w:numPr>
      </w:pPr>
      <w:r>
        <w:t xml:space="preserve">A.A. </w:t>
      </w:r>
      <w:r w:rsidR="00DD533C">
        <w:t>Anderson</w:t>
      </w:r>
      <w:r w:rsidR="0071790D">
        <w:t>: “It must have been fairly clear to the readers that the Amaleki</w:t>
      </w:r>
      <w:r w:rsidR="000E5A7B">
        <w:t>te was exaggerating his own role in this particular episode.” (</w:t>
      </w:r>
      <w:r w:rsidR="005368C1" w:rsidRPr="007B14DB">
        <w:rPr>
          <w:i/>
          <w:iCs/>
        </w:rPr>
        <w:t xml:space="preserve">2 </w:t>
      </w:r>
      <w:r w:rsidR="000E5A7B" w:rsidRPr="007B14DB">
        <w:rPr>
          <w:i/>
          <w:iCs/>
        </w:rPr>
        <w:t>Samuel</w:t>
      </w:r>
      <w:r w:rsidR="005368C1">
        <w:t>, Word Biblical Commentary, Vol. 11</w:t>
      </w:r>
      <w:r w:rsidR="007B14DB">
        <w:t xml:space="preserve"> [Dallas: Word Book</w:t>
      </w:r>
      <w:r w:rsidR="00BF6901">
        <w:t>s,</w:t>
      </w:r>
      <w:r w:rsidR="007B14DB">
        <w:t xml:space="preserve"> Publishers, 1989</w:t>
      </w:r>
      <w:r w:rsidR="003E0FA3">
        <w:t>], 5)</w:t>
      </w:r>
    </w:p>
    <w:p w14:paraId="501C342D" w14:textId="7CE146C9" w:rsidR="00BF6901" w:rsidRDefault="000B4B52" w:rsidP="00DD533C">
      <w:pPr>
        <w:pStyle w:val="ListParagraph"/>
        <w:numPr>
          <w:ilvl w:val="0"/>
          <w:numId w:val="26"/>
        </w:numPr>
      </w:pPr>
      <w:r>
        <w:t xml:space="preserve">Hans </w:t>
      </w:r>
      <w:r w:rsidR="00BF6901">
        <w:t>Hertzberg</w:t>
      </w:r>
      <w:r w:rsidR="00BC088D">
        <w:t>: “His account does not tally with that of ch. 31.” (</w:t>
      </w:r>
      <w:r w:rsidR="00BC088D" w:rsidRPr="008C1439">
        <w:rPr>
          <w:i/>
          <w:iCs/>
        </w:rPr>
        <w:t xml:space="preserve">1 </w:t>
      </w:r>
      <w:r w:rsidR="00164542" w:rsidRPr="008C1439">
        <w:rPr>
          <w:i/>
          <w:iCs/>
        </w:rPr>
        <w:t>&amp;</w:t>
      </w:r>
      <w:r w:rsidR="00BC088D" w:rsidRPr="008C1439">
        <w:rPr>
          <w:i/>
          <w:iCs/>
        </w:rPr>
        <w:t xml:space="preserve"> 2 Samuel</w:t>
      </w:r>
      <w:r w:rsidR="00BC088D">
        <w:t xml:space="preserve">, </w:t>
      </w:r>
      <w:r w:rsidR="00164542">
        <w:t xml:space="preserve">The Old </w:t>
      </w:r>
      <w:r w:rsidR="008C1439">
        <w:t>Testament</w:t>
      </w:r>
      <w:r w:rsidR="00164542">
        <w:t xml:space="preserve"> Library [</w:t>
      </w:r>
      <w:r w:rsidR="00C00BAF">
        <w:t xml:space="preserve">Louisville: </w:t>
      </w:r>
      <w:r w:rsidR="00E47B3A">
        <w:t xml:space="preserve">Westminster John Knox Press, 1965], </w:t>
      </w:r>
      <w:r w:rsidR="00BC088D">
        <w:t>236</w:t>
      </w:r>
      <w:r w:rsidR="009144F2">
        <w:t>)</w:t>
      </w:r>
    </w:p>
    <w:p w14:paraId="62B8ACCF" w14:textId="060F1A97" w:rsidR="008C1439" w:rsidRDefault="008E5677" w:rsidP="00DD533C">
      <w:pPr>
        <w:pStyle w:val="ListParagraph"/>
        <w:numPr>
          <w:ilvl w:val="0"/>
          <w:numId w:val="26"/>
        </w:numPr>
      </w:pPr>
      <w:r>
        <w:t xml:space="preserve">Robert P. </w:t>
      </w:r>
      <w:r w:rsidR="0007718E">
        <w:t>Gordon: “He will be executed as a regicide…, but he was more</w:t>
      </w:r>
      <w:r w:rsidR="00B7439C">
        <w:t xml:space="preserve"> probably a common looter with some facility in story-telling.” </w:t>
      </w:r>
      <w:r w:rsidR="00A73E6C" w:rsidRPr="00CC093A">
        <w:t>(</w:t>
      </w:r>
      <w:r w:rsidR="0067085A">
        <w:rPr>
          <w:i/>
          <w:iCs/>
        </w:rPr>
        <w:t>I</w:t>
      </w:r>
      <w:r w:rsidR="00A73E6C" w:rsidRPr="009144F2">
        <w:rPr>
          <w:i/>
          <w:iCs/>
        </w:rPr>
        <w:t xml:space="preserve"> and </w:t>
      </w:r>
      <w:r w:rsidR="00C409F2" w:rsidRPr="009144F2">
        <w:rPr>
          <w:i/>
          <w:iCs/>
        </w:rPr>
        <w:t>II</w:t>
      </w:r>
      <w:r w:rsidR="00A73E6C" w:rsidRPr="009144F2">
        <w:rPr>
          <w:i/>
          <w:iCs/>
        </w:rPr>
        <w:t xml:space="preserve"> Samuel</w:t>
      </w:r>
      <w:r w:rsidR="00C409F2">
        <w:t xml:space="preserve">, </w:t>
      </w:r>
      <w:r w:rsidR="00B82BB5">
        <w:t>Library of Biblical Interpretation</w:t>
      </w:r>
      <w:r w:rsidR="00A95A71">
        <w:t xml:space="preserve"> [</w:t>
      </w:r>
      <w:r w:rsidR="009144F2">
        <w:t>Grand</w:t>
      </w:r>
      <w:r w:rsidR="00A95A71">
        <w:t xml:space="preserve"> Rapids: Zondervan</w:t>
      </w:r>
      <w:r w:rsidR="00BE033B">
        <w:t xml:space="preserve">, 1999], </w:t>
      </w:r>
      <w:r w:rsidR="00C409F2">
        <w:t>209</w:t>
      </w:r>
      <w:r w:rsidR="009144F2">
        <w:t>)</w:t>
      </w:r>
    </w:p>
    <w:p w14:paraId="75BBB78E" w14:textId="75C27403" w:rsidR="00810EE2" w:rsidRDefault="00935638" w:rsidP="00DD533C">
      <w:pPr>
        <w:pStyle w:val="ListParagraph"/>
        <w:numPr>
          <w:ilvl w:val="0"/>
          <w:numId w:val="26"/>
        </w:numPr>
      </w:pPr>
      <w:r>
        <w:lastRenderedPageBreak/>
        <w:t xml:space="preserve">Ronald F. </w:t>
      </w:r>
      <w:r w:rsidR="00810EE2">
        <w:t xml:space="preserve">Youngblood: “Josephus…errs in his basic assumption </w:t>
      </w:r>
      <w:r w:rsidR="00BA35F0">
        <w:t xml:space="preserve">that the Amalekite fabricated his story. But the whole narrative seems against this.” </w:t>
      </w:r>
      <w:r w:rsidR="007B11AB">
        <w:t>[</w:t>
      </w:r>
      <w:r w:rsidR="00526EB2" w:rsidRPr="004460E2">
        <w:rPr>
          <w:i/>
          <w:iCs/>
        </w:rPr>
        <w:t>1 &amp; 2 Samuel</w:t>
      </w:r>
      <w:r w:rsidR="00F24CCF">
        <w:t>, Expositor’s Bible Commentary</w:t>
      </w:r>
      <w:r w:rsidR="00C22965">
        <w:t>, Vol. 3 (</w:t>
      </w:r>
      <w:r w:rsidR="00916058">
        <w:t>Grand Rapids: Zondervan, 1992</w:t>
      </w:r>
      <w:r w:rsidR="00211979">
        <w:t>]</w:t>
      </w:r>
      <w:r w:rsidR="00837B90">
        <w:t>, 806</w:t>
      </w:r>
      <w:r w:rsidR="005F2D9C">
        <w:t>)</w:t>
      </w:r>
    </w:p>
    <w:p w14:paraId="29960FE8" w14:textId="6A52335E" w:rsidR="00837B90" w:rsidRDefault="00EB64A6" w:rsidP="00FC1703">
      <w:pPr>
        <w:pStyle w:val="ListParagraph"/>
        <w:numPr>
          <w:ilvl w:val="0"/>
          <w:numId w:val="27"/>
        </w:numPr>
      </w:pPr>
      <w:r>
        <w:t xml:space="preserve">H.P. </w:t>
      </w:r>
      <w:r w:rsidR="00B85040">
        <w:t>Smith: “</w:t>
      </w:r>
      <w:r w:rsidR="007212DC">
        <w:t>The eas</w:t>
      </w:r>
      <w:r w:rsidR="00D37CC5">
        <w:t>iest hypothesis is that the Amalekite fabricated his story</w:t>
      </w:r>
      <w:r w:rsidR="008A412C">
        <w:t xml:space="preserve">. But the whole narrative seems against this.” </w:t>
      </w:r>
      <w:r w:rsidR="00B75C35">
        <w:t>[</w:t>
      </w:r>
      <w:r w:rsidR="00D82795" w:rsidRPr="00D82795">
        <w:rPr>
          <w:i/>
          <w:iCs/>
        </w:rPr>
        <w:t>A Critical and Exegetical Commentary on the Books of</w:t>
      </w:r>
      <w:r w:rsidR="00D82795">
        <w:t xml:space="preserve"> </w:t>
      </w:r>
      <w:r w:rsidR="00B75C35" w:rsidRPr="00CB1170">
        <w:rPr>
          <w:i/>
          <w:iCs/>
        </w:rPr>
        <w:t>Samuel</w:t>
      </w:r>
      <w:r w:rsidR="00B75C35">
        <w:t xml:space="preserve">, </w:t>
      </w:r>
      <w:r w:rsidR="00FD4783">
        <w:t xml:space="preserve">The </w:t>
      </w:r>
      <w:r w:rsidR="00A30811">
        <w:t>International</w:t>
      </w:r>
      <w:r w:rsidR="00FD4783">
        <w:t xml:space="preserve"> Critical </w:t>
      </w:r>
      <w:r w:rsidR="00A30811">
        <w:t xml:space="preserve">Commentary (Edinburgh: T&amp;T Clark, 1904), </w:t>
      </w:r>
      <w:r w:rsidR="00B75C35">
        <w:t>254</w:t>
      </w:r>
      <w:r w:rsidR="00A30811">
        <w:t>]</w:t>
      </w:r>
    </w:p>
    <w:p w14:paraId="6FC3EA53" w14:textId="03EB17DF" w:rsidR="00BD699A" w:rsidRDefault="001836BD" w:rsidP="00BD699A">
      <w:pPr>
        <w:pStyle w:val="ListParagraph"/>
        <w:numPr>
          <w:ilvl w:val="0"/>
          <w:numId w:val="27"/>
        </w:numPr>
      </w:pPr>
      <w:r>
        <w:t xml:space="preserve">A.F. </w:t>
      </w:r>
      <w:r w:rsidR="00B75C35">
        <w:t xml:space="preserve">Kirkpatrick: </w:t>
      </w:r>
      <w:r w:rsidR="00295C5B">
        <w:t>It is not necessary to regard this as a lie of the Amalekite.” (</w:t>
      </w:r>
      <w:r w:rsidR="00295C5B" w:rsidRPr="00ED61F3">
        <w:rPr>
          <w:i/>
          <w:iCs/>
        </w:rPr>
        <w:t xml:space="preserve">The First Book of </w:t>
      </w:r>
      <w:r w:rsidR="00FB2BD0" w:rsidRPr="00ED61F3">
        <w:rPr>
          <w:i/>
          <w:iCs/>
        </w:rPr>
        <w:t>Samuel</w:t>
      </w:r>
      <w:r w:rsidR="00FB2BD0">
        <w:t xml:space="preserve">, </w:t>
      </w:r>
      <w:r w:rsidR="00ED61F3">
        <w:t>The Cambridge Bible for Schools and Colleges (</w:t>
      </w:r>
      <w:r w:rsidR="00FB2BD0">
        <w:t>Cambridge: Cambridge University Press, 1880</w:t>
      </w:r>
      <w:r w:rsidR="00AA3FFD">
        <w:t>], 51</w:t>
      </w:r>
      <w:r w:rsidR="00295C5B">
        <w:t>)</w:t>
      </w:r>
    </w:p>
    <w:p w14:paraId="0BCA4A15" w14:textId="67091AD9" w:rsidR="00295C5B" w:rsidRDefault="00295C5B" w:rsidP="00BD699A">
      <w:pPr>
        <w:pStyle w:val="ListParagraph"/>
        <w:numPr>
          <w:ilvl w:val="0"/>
          <w:numId w:val="28"/>
        </w:numPr>
      </w:pPr>
      <w:r>
        <w:t>Bruegge</w:t>
      </w:r>
      <w:r w:rsidR="00BD699A">
        <w:t xml:space="preserve">mann is noncommittal on this point, suggesting that “there is no way to adjudicate the question of the historicity of either narrative.” </w:t>
      </w:r>
      <w:r w:rsidR="00CB1170">
        <w:t>(</w:t>
      </w:r>
      <w:r w:rsidR="00CB1170" w:rsidRPr="000A533F">
        <w:rPr>
          <w:i/>
          <w:iCs/>
        </w:rPr>
        <w:t>First and Second Samuel</w:t>
      </w:r>
      <w:r w:rsidR="00CB1170">
        <w:t>,</w:t>
      </w:r>
      <w:r w:rsidR="000A533F">
        <w:t xml:space="preserve"> </w:t>
      </w:r>
      <w:r w:rsidR="00E7369B">
        <w:t xml:space="preserve">Interpretation: A Bible Commentary </w:t>
      </w:r>
      <w:r w:rsidR="00E24F21">
        <w:t>for Teaching and Preaching (</w:t>
      </w:r>
      <w:r w:rsidR="003125F8">
        <w:t>Louisville</w:t>
      </w:r>
      <w:r w:rsidR="00E24F21">
        <w:t xml:space="preserve">: </w:t>
      </w:r>
      <w:r w:rsidR="003125F8">
        <w:t>John Knox Press, 1990</w:t>
      </w:r>
      <w:r w:rsidR="00BA5487">
        <w:t>), 213</w:t>
      </w:r>
      <w:r w:rsidR="003125F8">
        <w:t>]</w:t>
      </w:r>
      <w:r w:rsidR="00BA5487">
        <w:rPr>
          <w:rStyle w:val="FootnoteReference"/>
        </w:rPr>
        <w:footnoteReference w:id="87"/>
      </w:r>
    </w:p>
    <w:p w14:paraId="023D4427" w14:textId="62C99005" w:rsidR="00BA5487" w:rsidRDefault="00B72FE6" w:rsidP="00BA5487">
      <w:r>
        <w:t xml:space="preserve">While no consensus has been reached, Bergen offers the following harmony of both texts: “The reader can conclude that Saul inflicted on himself a blow that, given </w:t>
      </w:r>
      <w:r w:rsidR="00190A8F">
        <w:t>sufficient</w:t>
      </w:r>
      <w:r>
        <w:t xml:space="preserve"> passage of time,</w:t>
      </w:r>
      <w:r w:rsidR="00190A8F">
        <w:t xml:space="preserve"> </w:t>
      </w:r>
      <w:r>
        <w:t xml:space="preserve">would have killed him; </w:t>
      </w:r>
      <w:r w:rsidR="00190A8F">
        <w:t>however, his death was hastened by the Amalekites’ efforts.”</w:t>
      </w:r>
      <w:r w:rsidR="00190A8F">
        <w:rPr>
          <w:rStyle w:val="FootnoteReference"/>
        </w:rPr>
        <w:footnoteReference w:id="88"/>
      </w:r>
      <w:r w:rsidR="00190A8F">
        <w:t xml:space="preserve"> </w:t>
      </w:r>
    </w:p>
    <w:p w14:paraId="460D240D" w14:textId="38A74BAF" w:rsidR="00427B2E" w:rsidRDefault="00427B2E" w:rsidP="00BA5487">
      <w:r>
        <w:t xml:space="preserve">The irony of the entire </w:t>
      </w:r>
      <w:r w:rsidR="001263D6">
        <w:t>episode</w:t>
      </w:r>
      <w:r>
        <w:t xml:space="preserve"> is that Saul lost his kingdom because he refused to kill an </w:t>
      </w:r>
      <w:r w:rsidR="001263D6">
        <w:t>Amalekite</w:t>
      </w:r>
      <w:r>
        <w:t xml:space="preserve"> king (1 Sam. </w:t>
      </w:r>
      <w:r w:rsidR="004D28E6">
        <w:t xml:space="preserve">15:9, 26); yet, an Amalekite, which should have been destroyed, </w:t>
      </w:r>
      <w:r w:rsidR="001263D6">
        <w:t>lived to kill the king of Israel.</w:t>
      </w:r>
    </w:p>
    <w:p w14:paraId="2831EB92" w14:textId="2B4C26CF" w:rsidR="00220F65" w:rsidRPr="00BB5451" w:rsidRDefault="00BB5451" w:rsidP="006655BF">
      <w:pPr>
        <w:rPr>
          <w:u w:val="single"/>
        </w:rPr>
      </w:pPr>
      <w:r w:rsidRPr="00BB5451">
        <w:rPr>
          <w:u w:val="single"/>
        </w:rPr>
        <w:t xml:space="preserve">Book of Jasher </w:t>
      </w:r>
    </w:p>
    <w:p w14:paraId="0A2A55C3" w14:textId="68D650E2" w:rsidR="00BB5451" w:rsidRDefault="00E72EA2" w:rsidP="006655BF">
      <w:r>
        <w:t>The Book of Jasher</w:t>
      </w:r>
      <w:r w:rsidR="00417BF1">
        <w:t xml:space="preserve"> (2 Sam. 1:18)</w:t>
      </w:r>
      <w:r>
        <w:t xml:space="preserve"> is</w:t>
      </w:r>
      <w:r w:rsidR="00293293">
        <w:t xml:space="preserve"> not extant, and little is </w:t>
      </w:r>
      <w:r w:rsidR="000167E8">
        <w:t>known</w:t>
      </w:r>
      <w:r w:rsidR="00293293">
        <w:t xml:space="preserve"> about the work. Joshua </w:t>
      </w:r>
      <w:r w:rsidR="006C50EC">
        <w:t>10:12-13 mentions the book</w:t>
      </w:r>
      <w:r w:rsidR="000167E8">
        <w:t>, which is thought to be</w:t>
      </w:r>
      <w:r w:rsidR="000110AB">
        <w:t xml:space="preserve"> a work regaling </w:t>
      </w:r>
      <w:r w:rsidR="00800D3F">
        <w:t xml:space="preserve">the </w:t>
      </w:r>
      <w:r w:rsidR="00417BF1">
        <w:t>heroic exploits of the Israelites.</w:t>
      </w:r>
      <w:r w:rsidR="00417BF1">
        <w:rPr>
          <w:rStyle w:val="FootnoteReference"/>
        </w:rPr>
        <w:footnoteReference w:id="89"/>
      </w:r>
    </w:p>
    <w:p w14:paraId="62320CF0" w14:textId="368FA3FF" w:rsidR="0007663F" w:rsidRPr="005A24CE" w:rsidRDefault="004A078C" w:rsidP="006655BF">
      <w:pPr>
        <w:rPr>
          <w:i/>
          <w:iCs/>
        </w:rPr>
      </w:pPr>
      <w:r w:rsidRPr="005A24CE">
        <w:rPr>
          <w:i/>
          <w:iCs/>
        </w:rPr>
        <w:t>2 Sam</w:t>
      </w:r>
      <w:r w:rsidR="006E2009">
        <w:rPr>
          <w:i/>
          <w:iCs/>
        </w:rPr>
        <w:t>.</w:t>
      </w:r>
      <w:r w:rsidRPr="005A24CE">
        <w:rPr>
          <w:i/>
          <w:iCs/>
        </w:rPr>
        <w:t xml:space="preserve"> 2</w:t>
      </w:r>
    </w:p>
    <w:p w14:paraId="40651656" w14:textId="6579F3B2" w:rsidR="004A078C" w:rsidRDefault="00DE644D" w:rsidP="006655BF">
      <w:pPr>
        <w:rPr>
          <w:u w:val="single"/>
        </w:rPr>
      </w:pPr>
      <w:r w:rsidRPr="00C306F6">
        <w:rPr>
          <w:u w:val="single"/>
        </w:rPr>
        <w:t xml:space="preserve">Abner </w:t>
      </w:r>
    </w:p>
    <w:p w14:paraId="48115EE9" w14:textId="424DE922" w:rsidR="00F07083" w:rsidRPr="0081740E" w:rsidRDefault="002B417D" w:rsidP="006655BF">
      <w:r>
        <w:t xml:space="preserve">Abner was Saul’s cousin. Abner was the son of </w:t>
      </w:r>
      <w:r w:rsidR="00C561CE">
        <w:t>Ner</w:t>
      </w:r>
      <w:r w:rsidR="005F780C">
        <w:t xml:space="preserve"> the Benjaminite</w:t>
      </w:r>
      <w:r w:rsidR="00C561CE">
        <w:t>, who was Kish’s brother</w:t>
      </w:r>
      <w:r w:rsidR="007D470E">
        <w:t xml:space="preserve">. Kish was Saul’s father. </w:t>
      </w:r>
      <w:r w:rsidR="00C561CE">
        <w:t xml:space="preserve"> </w:t>
      </w:r>
      <w:r w:rsidR="00891CB6">
        <w:t xml:space="preserve">Abner was the </w:t>
      </w:r>
      <w:r w:rsidR="00A64233">
        <w:t>commander</w:t>
      </w:r>
      <w:r w:rsidR="00891CB6">
        <w:t xml:space="preserve"> of Saul’s army (1 Sam. 14:50)</w:t>
      </w:r>
      <w:r w:rsidR="00A64233">
        <w:t xml:space="preserve">, and Abner </w:t>
      </w:r>
      <w:r w:rsidR="000B0466">
        <w:t xml:space="preserve">later made Saul’s son Ish-bosheth king </w:t>
      </w:r>
      <w:r w:rsidR="007C5E49">
        <w:t>of</w:t>
      </w:r>
      <w:r w:rsidR="000B0466">
        <w:t xml:space="preserve"> Israel</w:t>
      </w:r>
      <w:r w:rsidR="00887828">
        <w:t>.</w:t>
      </w:r>
      <w:r w:rsidR="000B0466">
        <w:t xml:space="preserve"> (2 Sam. 2:8) </w:t>
      </w:r>
      <w:r w:rsidR="002B5E41">
        <w:t xml:space="preserve">Eventually, </w:t>
      </w:r>
      <w:r w:rsidR="00306FCE">
        <w:t xml:space="preserve">Ish-bosheth </w:t>
      </w:r>
      <w:r w:rsidR="00AD1C38">
        <w:t>accuse</w:t>
      </w:r>
      <w:r w:rsidR="00C52769">
        <w:t>d</w:t>
      </w:r>
      <w:r w:rsidR="00AD1C38">
        <w:t xml:space="preserve"> Abner of sleeping with </w:t>
      </w:r>
      <w:r w:rsidR="00306FCE">
        <w:t xml:space="preserve">Rizpah, Saul’s former concubine. </w:t>
      </w:r>
      <w:r w:rsidR="00AD1C38">
        <w:t>(2 Sam 3:</w:t>
      </w:r>
      <w:r w:rsidR="00FB4B89">
        <w:t>7) Incensed, Abner flip</w:t>
      </w:r>
      <w:r w:rsidR="00C52769">
        <w:t>ped</w:t>
      </w:r>
      <w:r w:rsidR="00FB4B89">
        <w:t xml:space="preserve"> to David’s side. </w:t>
      </w:r>
      <w:r w:rsidR="00663D0D">
        <w:t>David receive</w:t>
      </w:r>
      <w:r w:rsidR="00C52769">
        <w:t>d</w:t>
      </w:r>
      <w:r w:rsidR="00663D0D">
        <w:t xml:space="preserve"> Abner, but soon Joab murder</w:t>
      </w:r>
      <w:r w:rsidR="00C52769">
        <w:t>ed</w:t>
      </w:r>
      <w:r w:rsidR="00663D0D">
        <w:t xml:space="preserve"> Abner. </w:t>
      </w:r>
      <w:r w:rsidR="0081740E">
        <w:t>Joab's</w:t>
      </w:r>
      <w:r w:rsidR="00663D0D">
        <w:t xml:space="preserve"> animosity stemmed from the fact that Abner had killed Joab’s brother, though he seemingly did so in self-defense.</w:t>
      </w:r>
      <w:r w:rsidR="009B0F03">
        <w:t xml:space="preserve"> (2 </w:t>
      </w:r>
      <w:r w:rsidR="009B0F03">
        <w:lastRenderedPageBreak/>
        <w:t>Sam</w:t>
      </w:r>
      <w:r w:rsidR="00C52769">
        <w:t>.</w:t>
      </w:r>
      <w:r w:rsidR="009B0F03">
        <w:t xml:space="preserve"> 2:12-32) David, grieved by Abner’s death, compose</w:t>
      </w:r>
      <w:r w:rsidR="00C52769">
        <w:t>d</w:t>
      </w:r>
      <w:r w:rsidR="009B0F03">
        <w:t xml:space="preserve"> a lament in his honor. (3:33-34)</w:t>
      </w:r>
      <w:r w:rsidR="00492A98">
        <w:rPr>
          <w:rStyle w:val="FootnoteReference"/>
        </w:rPr>
        <w:footnoteReference w:id="90"/>
      </w:r>
      <w:r w:rsidR="00F07083">
        <w:rPr>
          <w:u w:val="single"/>
        </w:rPr>
        <w:t>Joab</w:t>
      </w:r>
    </w:p>
    <w:p w14:paraId="1B279968" w14:textId="2FDC236D" w:rsidR="00F07083" w:rsidRDefault="007908B3" w:rsidP="006655BF">
      <w:r>
        <w:t>Joa</w:t>
      </w:r>
      <w:r w:rsidR="00BD4EDE">
        <w:t xml:space="preserve">b’s mother, Zeruiah, was David’s sister. (2 Sam. 2:13; 1 Chr. 11:6) </w:t>
      </w:r>
      <w:r w:rsidR="001D3B5D">
        <w:t xml:space="preserve">Joab was the commander of David’s army (2 Sam. 5:8), and he </w:t>
      </w:r>
      <w:r w:rsidR="000C0729">
        <w:t>achieved many military exploits while in service to David</w:t>
      </w:r>
      <w:r w:rsidR="004C101F">
        <w:t xml:space="preserve">, such as </w:t>
      </w:r>
      <w:r w:rsidR="00986376">
        <w:t xml:space="preserve">victories against the Edomites </w:t>
      </w:r>
      <w:r w:rsidR="004C101F">
        <w:t>(2 Sam. 8:13-14)</w:t>
      </w:r>
      <w:r w:rsidR="000C0729">
        <w:t xml:space="preserve"> </w:t>
      </w:r>
      <w:r w:rsidR="00986376">
        <w:t>and the Ammonites</w:t>
      </w:r>
      <w:r w:rsidR="00206361">
        <w:t>.</w:t>
      </w:r>
      <w:r w:rsidR="00986376">
        <w:t xml:space="preserve"> (2 Sam. 10:6-14)</w:t>
      </w:r>
      <w:r w:rsidR="003633D7">
        <w:t xml:space="preserve"> He </w:t>
      </w:r>
      <w:r w:rsidR="000A74E6">
        <w:t>aided</w:t>
      </w:r>
      <w:r w:rsidR="003633D7">
        <w:t xml:space="preserve"> David</w:t>
      </w:r>
      <w:r w:rsidR="000A74E6">
        <w:t xml:space="preserve">’s wicked plot to have Uriah the Hittite killed. (2 Sam. 11:14-25) </w:t>
      </w:r>
    </w:p>
    <w:p w14:paraId="004CB68D" w14:textId="04EBC0E2" w:rsidR="00157F02" w:rsidRPr="00F07083" w:rsidRDefault="00A23B54" w:rsidP="006655BF">
      <w:r>
        <w:t xml:space="preserve">Joab remained faithful to David after </w:t>
      </w:r>
      <w:r w:rsidR="00D94A81">
        <w:t>Absalom’s</w:t>
      </w:r>
      <w:r>
        <w:t xml:space="preserve"> rebellion; however, David </w:t>
      </w:r>
      <w:r w:rsidR="00D94A81">
        <w:t>eventually</w:t>
      </w:r>
      <w:r>
        <w:t xml:space="preserve"> </w:t>
      </w:r>
      <w:r w:rsidR="003013CE">
        <w:t xml:space="preserve">gave command to </w:t>
      </w:r>
      <w:r w:rsidR="00D94A81">
        <w:t>A</w:t>
      </w:r>
      <w:r w:rsidR="003013CE">
        <w:t>masa, Joab’s cousin. (2 Sam. 19:13) I</w:t>
      </w:r>
      <w:r w:rsidR="001B416A">
        <w:t>n</w:t>
      </w:r>
      <w:r w:rsidR="003013CE">
        <w:t xml:space="preserve"> retaliation, Joab killed Amasa</w:t>
      </w:r>
      <w:r w:rsidR="00D94A81">
        <w:t>.</w:t>
      </w:r>
      <w:r w:rsidR="003013CE">
        <w:t xml:space="preserve"> (2 Sam. </w:t>
      </w:r>
      <w:r w:rsidR="00D94A81">
        <w:t xml:space="preserve">20:8-13) </w:t>
      </w:r>
      <w:r w:rsidR="001B416A">
        <w:t>Later, Joab</w:t>
      </w:r>
      <w:r w:rsidR="00FD3D07">
        <w:t xml:space="preserve"> supported Adonijah as king instead of Solomon. </w:t>
      </w:r>
      <w:r w:rsidR="006E1D95">
        <w:t>Benaiah, at Solomon’s command, pursued Joab and eventually killed him</w:t>
      </w:r>
      <w:r w:rsidR="00973AF2">
        <w:t xml:space="preserve"> as he grasped the horns of the </w:t>
      </w:r>
      <w:r w:rsidR="006B61D9">
        <w:t>altar. (</w:t>
      </w:r>
      <w:r w:rsidR="0063568B">
        <w:t>1 K</w:t>
      </w:r>
      <w:r w:rsidR="00206361">
        <w:t xml:space="preserve">ings </w:t>
      </w:r>
      <w:r w:rsidR="006B61D9">
        <w:t>2:28-31)</w:t>
      </w:r>
      <w:r w:rsidR="006B61D9">
        <w:rPr>
          <w:rStyle w:val="FootnoteReference"/>
        </w:rPr>
        <w:footnoteReference w:id="91"/>
      </w:r>
    </w:p>
    <w:p w14:paraId="5A91C7FF" w14:textId="5D72E0D1" w:rsidR="00DE644D" w:rsidRPr="00B235FD" w:rsidRDefault="00820755" w:rsidP="006655BF">
      <w:pPr>
        <w:rPr>
          <w:u w:val="single"/>
        </w:rPr>
      </w:pPr>
      <w:r w:rsidRPr="00B235FD">
        <w:rPr>
          <w:u w:val="single"/>
        </w:rPr>
        <w:t xml:space="preserve">Ish-bosheth </w:t>
      </w:r>
    </w:p>
    <w:p w14:paraId="79E03BE7" w14:textId="04D597B7" w:rsidR="00B847A2" w:rsidRDefault="00622139" w:rsidP="006655BF">
      <w:r>
        <w:t>Ish-bosheth was the fourth son of Saul</w:t>
      </w:r>
      <w:r w:rsidR="0015148F">
        <w:t xml:space="preserve"> and became king of Israel after his father’s death. He </w:t>
      </w:r>
      <w:r w:rsidR="00C63EDA">
        <w:t xml:space="preserve">was a rival to David, and he was eventually killed by Baanah and Rechab. </w:t>
      </w:r>
      <w:r w:rsidR="00A877D9">
        <w:t xml:space="preserve">(2 Sam. 4:5-6) </w:t>
      </w:r>
      <w:r w:rsidR="008E3F29">
        <w:t xml:space="preserve">Interestingly, Ish-bosheth </w:t>
      </w:r>
      <w:r w:rsidR="00DC72EB">
        <w:t>wa</w:t>
      </w:r>
      <w:r w:rsidR="008E3F29">
        <w:t>s also known as Ishvi (1 Sam. 14:49) and Esh-baal (1 Chron. 8:33).</w:t>
      </w:r>
      <w:r w:rsidR="00081FE8">
        <w:rPr>
          <w:rStyle w:val="FootnoteReference"/>
        </w:rPr>
        <w:footnoteReference w:id="92"/>
      </w:r>
    </w:p>
    <w:p w14:paraId="3DE18CA9" w14:textId="30A000D0" w:rsidR="000E563F" w:rsidRPr="00F8705C" w:rsidRDefault="000E563F" w:rsidP="006655BF">
      <w:pPr>
        <w:rPr>
          <w:u w:val="single"/>
        </w:rPr>
      </w:pPr>
      <w:r w:rsidRPr="00F8705C">
        <w:rPr>
          <w:u w:val="single"/>
        </w:rPr>
        <w:t>Hebron</w:t>
      </w:r>
    </w:p>
    <w:p w14:paraId="50781217" w14:textId="52832852" w:rsidR="000E563F" w:rsidRDefault="00B55725" w:rsidP="006655BF">
      <w:r>
        <w:t>Hebron was located a</w:t>
      </w:r>
      <w:r w:rsidR="00920130">
        <w:t xml:space="preserve">pproximately 19 miles </w:t>
      </w:r>
      <w:r w:rsidR="00DC72EB">
        <w:t>south</w:t>
      </w:r>
      <w:r w:rsidR="00920130">
        <w:t xml:space="preserve"> of Jerusalem. </w:t>
      </w:r>
      <w:r w:rsidR="00607FA1">
        <w:t>The city has a rich history</w:t>
      </w:r>
      <w:r w:rsidR="00387587">
        <w:t>, as shown</w:t>
      </w:r>
      <w:r w:rsidR="00607FA1">
        <w:t xml:space="preserve"> </w:t>
      </w:r>
      <w:r w:rsidR="0067105F">
        <w:t>in the Old Testament.</w:t>
      </w:r>
    </w:p>
    <w:p w14:paraId="0D4EF19B" w14:textId="4BD3EE3B" w:rsidR="0067105F" w:rsidRDefault="00E65A10" w:rsidP="0067105F">
      <w:pPr>
        <w:pStyle w:val="ListParagraph"/>
        <w:numPr>
          <w:ilvl w:val="0"/>
          <w:numId w:val="29"/>
        </w:numPr>
      </w:pPr>
      <w:r>
        <w:t>Abraham</w:t>
      </w:r>
      <w:r w:rsidR="0067105F">
        <w:t xml:space="preserve"> built an altar at Hebron</w:t>
      </w:r>
      <w:r>
        <w:t>.</w:t>
      </w:r>
    </w:p>
    <w:p w14:paraId="301F6AA4" w14:textId="436CD826" w:rsidR="0067105F" w:rsidRDefault="00E65A10" w:rsidP="0067105F">
      <w:pPr>
        <w:pStyle w:val="ListParagraph"/>
        <w:numPr>
          <w:ilvl w:val="0"/>
          <w:numId w:val="29"/>
        </w:numPr>
      </w:pPr>
      <w:r>
        <w:t>Abraham</w:t>
      </w:r>
      <w:r w:rsidR="006774A0">
        <w:t xml:space="preserve"> and</w:t>
      </w:r>
      <w:r w:rsidR="0067105F">
        <w:t xml:space="preserve"> Sarah, </w:t>
      </w:r>
      <w:r>
        <w:t>Isaac</w:t>
      </w:r>
      <w:r w:rsidR="006774A0">
        <w:t xml:space="preserve"> and</w:t>
      </w:r>
      <w:r>
        <w:t xml:space="preserve"> Rebekah, </w:t>
      </w:r>
      <w:r w:rsidR="00343959">
        <w:t xml:space="preserve">and </w:t>
      </w:r>
      <w:r>
        <w:t>Jacob and Leah were all buried there in the cave of Machpelah.</w:t>
      </w:r>
    </w:p>
    <w:p w14:paraId="6D9CDE85" w14:textId="422DA4F6" w:rsidR="00E65A10" w:rsidRDefault="00D12C6E" w:rsidP="0067105F">
      <w:pPr>
        <w:pStyle w:val="ListParagraph"/>
        <w:numPr>
          <w:ilvl w:val="0"/>
          <w:numId w:val="29"/>
        </w:numPr>
      </w:pPr>
      <w:r>
        <w:t xml:space="preserve">David’s </w:t>
      </w:r>
      <w:r w:rsidR="00C56E32">
        <w:t xml:space="preserve">established his </w:t>
      </w:r>
      <w:r>
        <w:t>first capital</w:t>
      </w:r>
      <w:r w:rsidR="00C56E32">
        <w:t xml:space="preserve"> here</w:t>
      </w:r>
      <w:r>
        <w:t xml:space="preserve">. After Jerusalem </w:t>
      </w:r>
      <w:r w:rsidR="006774A0">
        <w:t>was</w:t>
      </w:r>
      <w:r>
        <w:t xml:space="preserve"> established</w:t>
      </w:r>
      <w:r w:rsidR="006774A0">
        <w:t>,</w:t>
      </w:r>
      <w:r>
        <w:t xml:space="preserve"> Hebron’s </w:t>
      </w:r>
      <w:r w:rsidR="003F7431">
        <w:t>importance</w:t>
      </w:r>
      <w:r>
        <w:t xml:space="preserve"> diminished. </w:t>
      </w:r>
    </w:p>
    <w:p w14:paraId="59D79B88" w14:textId="529B14B2" w:rsidR="0081740E" w:rsidRDefault="007515F8">
      <w:r>
        <w:t xml:space="preserve">Herod the Great built a wall around the supposed burial site of the aforementioned patriarchs. </w:t>
      </w:r>
      <w:r w:rsidR="005437F6">
        <w:t>The site is now part of a Mosque. The moder</w:t>
      </w:r>
      <w:r w:rsidR="00A71863">
        <w:t>n</w:t>
      </w:r>
      <w:r w:rsidR="005437F6">
        <w:t xml:space="preserve"> </w:t>
      </w:r>
      <w:r w:rsidR="003F7431">
        <w:t>name</w:t>
      </w:r>
      <w:r w:rsidR="005437F6">
        <w:t xml:space="preserve"> for the city is Halil</w:t>
      </w:r>
      <w:r w:rsidR="003F7431">
        <w:t>, which reflects the fact that Abraham was the “friend” of God.</w:t>
      </w:r>
      <w:r w:rsidR="003F7431">
        <w:rPr>
          <w:rStyle w:val="FootnoteReference"/>
        </w:rPr>
        <w:footnoteReference w:id="93"/>
      </w:r>
      <w:r w:rsidR="0081740E">
        <w:br w:type="page"/>
      </w:r>
    </w:p>
    <w:p w14:paraId="5987C5A1" w14:textId="6B1E2B02" w:rsidR="00B847A2" w:rsidRPr="005A24CE" w:rsidRDefault="00B847A2" w:rsidP="006655BF">
      <w:pPr>
        <w:rPr>
          <w:i/>
          <w:iCs/>
        </w:rPr>
      </w:pPr>
      <w:r w:rsidRPr="005A24CE">
        <w:rPr>
          <w:i/>
          <w:iCs/>
        </w:rPr>
        <w:lastRenderedPageBreak/>
        <w:t>2 Sam</w:t>
      </w:r>
      <w:r w:rsidR="006E2009">
        <w:rPr>
          <w:i/>
          <w:iCs/>
        </w:rPr>
        <w:t>.</w:t>
      </w:r>
      <w:r w:rsidRPr="005A24CE">
        <w:rPr>
          <w:i/>
          <w:iCs/>
        </w:rPr>
        <w:t xml:space="preserve"> 3</w:t>
      </w:r>
    </w:p>
    <w:p w14:paraId="61EE30F6" w14:textId="756C645E" w:rsidR="004A078C" w:rsidRPr="00D27DCF" w:rsidRDefault="0015148F" w:rsidP="006655BF">
      <w:pPr>
        <w:rPr>
          <w:u w:val="single"/>
        </w:rPr>
      </w:pPr>
      <w:r w:rsidRPr="00D27DCF">
        <w:rPr>
          <w:u w:val="single"/>
        </w:rPr>
        <w:t xml:space="preserve"> </w:t>
      </w:r>
      <w:r w:rsidR="00D27DCF" w:rsidRPr="00D27DCF">
        <w:rPr>
          <w:u w:val="single"/>
        </w:rPr>
        <w:t>Abner</w:t>
      </w:r>
    </w:p>
    <w:p w14:paraId="71768F35" w14:textId="77777777" w:rsidR="0081740E" w:rsidRDefault="00D27DCF" w:rsidP="006655BF">
      <w:r>
        <w:t xml:space="preserve">See </w:t>
      </w:r>
      <w:r w:rsidR="001C74A5" w:rsidRPr="00D27DCF">
        <w:rPr>
          <w:u w:val="single"/>
        </w:rPr>
        <w:t>Abner</w:t>
      </w:r>
      <w:r w:rsidR="001C74A5">
        <w:rPr>
          <w:u w:val="single"/>
        </w:rPr>
        <w:t xml:space="preserve"> </w:t>
      </w:r>
      <w:r>
        <w:t>under 2 Sam</w:t>
      </w:r>
      <w:r w:rsidR="00A71863">
        <w:t>.</w:t>
      </w:r>
      <w:r>
        <w:t xml:space="preserve"> 2. </w:t>
      </w:r>
    </w:p>
    <w:p w14:paraId="06650998" w14:textId="24A1E262" w:rsidR="00D27DCF" w:rsidRPr="0081740E" w:rsidRDefault="005732C1" w:rsidP="006655BF">
      <w:r w:rsidRPr="005732C1">
        <w:rPr>
          <w:u w:val="single"/>
        </w:rPr>
        <w:t>Rizpah</w:t>
      </w:r>
    </w:p>
    <w:p w14:paraId="325527EC" w14:textId="737AA6B1" w:rsidR="00795379" w:rsidRDefault="00751B69" w:rsidP="006655BF">
      <w:r>
        <w:t>Rizpah was a Hivite who eventually</w:t>
      </w:r>
      <w:r w:rsidR="00281BB5">
        <w:t xml:space="preserve"> became a concubine of Saul. She also </w:t>
      </w:r>
      <w:r w:rsidR="003018AF">
        <w:t>became</w:t>
      </w:r>
      <w:r w:rsidR="00281BB5">
        <w:t xml:space="preserve"> an issue of contention between Abner and Ish-bosheth. </w:t>
      </w:r>
      <w:r w:rsidR="00795379">
        <w:t xml:space="preserve">(See </w:t>
      </w:r>
      <w:r w:rsidR="00795379" w:rsidRPr="003018AF">
        <w:rPr>
          <w:u w:val="single"/>
        </w:rPr>
        <w:t>Abner</w:t>
      </w:r>
      <w:r w:rsidR="00795379">
        <w:t xml:space="preserve"> under 2 Sam</w:t>
      </w:r>
      <w:r w:rsidR="003018AF">
        <w:t>.</w:t>
      </w:r>
      <w:r w:rsidR="00795379">
        <w:t xml:space="preserve"> 2). She </w:t>
      </w:r>
      <w:r w:rsidR="00C57754">
        <w:t>appear</w:t>
      </w:r>
      <w:r w:rsidR="003018AF">
        <w:t>ed</w:t>
      </w:r>
      <w:r w:rsidR="00C57754">
        <w:t xml:space="preserve"> again in the text in 2 Sam</w:t>
      </w:r>
      <w:r w:rsidR="003018AF">
        <w:t>uel</w:t>
      </w:r>
      <w:r w:rsidR="00C57754">
        <w:t xml:space="preserve"> 21, where she </w:t>
      </w:r>
      <w:r w:rsidR="003018AF">
        <w:t>wa</w:t>
      </w:r>
      <w:r w:rsidR="00C57754">
        <w:t xml:space="preserve">s </w:t>
      </w:r>
      <w:r w:rsidR="00284875">
        <w:t xml:space="preserve">seen </w:t>
      </w:r>
      <w:r w:rsidR="00482E36">
        <w:t>protecting the bodies of her deceased sons. (2 Sam</w:t>
      </w:r>
      <w:r w:rsidR="003018AF">
        <w:t>.</w:t>
      </w:r>
      <w:r w:rsidR="00482E36">
        <w:t xml:space="preserve"> 21:9-10)</w:t>
      </w:r>
      <w:r w:rsidR="00B865B1">
        <w:t xml:space="preserve"> Unger describes the situation </w:t>
      </w:r>
      <w:r w:rsidR="0071289D">
        <w:t>that</w:t>
      </w:r>
      <w:r w:rsidR="00B865B1">
        <w:t xml:space="preserve"> led to her son</w:t>
      </w:r>
      <w:r w:rsidR="00AD741A">
        <w:t>s</w:t>
      </w:r>
      <w:r w:rsidR="00B865B1">
        <w:t>’ deaths in the following way:</w:t>
      </w:r>
    </w:p>
    <w:p w14:paraId="04296069" w14:textId="0981ADE5" w:rsidR="00B865B1" w:rsidRPr="005732C1" w:rsidRDefault="000B63CF" w:rsidP="000D2452">
      <w:pPr>
        <w:ind w:left="720"/>
      </w:pPr>
      <w:r>
        <w:t xml:space="preserve">A famine, which lasted three successive years, induced David to seek the face of </w:t>
      </w:r>
      <w:r w:rsidR="000D2452">
        <w:t>Jehovah</w:t>
      </w:r>
      <w:r>
        <w:t xml:space="preserve"> and to ask the cause of the judgment. The LORD replied, “</w:t>
      </w:r>
      <w:r w:rsidR="000D2452">
        <w:t>It is for Saul and his bloody house because he put the Gibeonites to death.” David</w:t>
      </w:r>
      <w:r w:rsidR="00CD1E77">
        <w:t xml:space="preserve">, therefore, sent for the Gibeonites to inquire of them as to the wrong that had been done to </w:t>
      </w:r>
      <w:r w:rsidR="00A72C83">
        <w:t xml:space="preserve">them by Saul and how he should make atonement for it. They asked </w:t>
      </w:r>
      <w:r w:rsidR="00565925">
        <w:t xml:space="preserve">for the crucifixion at Gibeah of seven men of Saul’s sons. David granted the request because, according to </w:t>
      </w:r>
      <w:r w:rsidR="009C388A">
        <w:t xml:space="preserve">the law (Num. 35:33), bloodguiltiness rested upon the land could only be expiated by the </w:t>
      </w:r>
      <w:r w:rsidR="00B46B2E">
        <w:t>blood</w:t>
      </w:r>
      <w:r w:rsidR="009C388A">
        <w:t xml:space="preserve"> of the criminal</w:t>
      </w:r>
      <w:r w:rsidR="00B46B2E">
        <w:t xml:space="preserve">; </w:t>
      </w:r>
      <w:r w:rsidR="00252F94">
        <w:t>thus,</w:t>
      </w:r>
      <w:r w:rsidR="00B46B2E">
        <w:t xml:space="preserve"> David gave up to the Gibeonites two sons of Rizpah and five sons of Merab, the daughter of Saul. </w:t>
      </w:r>
      <w:r w:rsidR="0008035E">
        <w:t xml:space="preserve">The victims were killed “at the beginning of </w:t>
      </w:r>
      <w:r w:rsidR="00654991">
        <w:t xml:space="preserve">of barely harvest,” about the middle of Nisan (our April) and their bodies hung in the full blaze of the summer sun until the fall of </w:t>
      </w:r>
      <w:r w:rsidR="0094020B">
        <w:t>rain in October</w:t>
      </w:r>
      <w:r w:rsidR="009B144B">
        <w:t>.</w:t>
      </w:r>
      <w:r w:rsidR="0094020B">
        <w:t xml:space="preserve"> (2 Sam. 21:9-10) During all this time, without any tent to protect her and only a garment of sackcloth to rest upon, Rizpah watched the bodies </w:t>
      </w:r>
      <w:r w:rsidR="0003592F">
        <w:t xml:space="preserve">and “allowed neither the birds of the sky to rest on them by day nor the beast of the filed by night.” </w:t>
      </w:r>
      <w:r w:rsidR="00252F94">
        <w:t>(v. 10), c. 970 B.C.</w:t>
      </w:r>
      <w:r w:rsidR="00252F94">
        <w:rPr>
          <w:rStyle w:val="FootnoteReference"/>
        </w:rPr>
        <w:footnoteReference w:id="94"/>
      </w:r>
    </w:p>
    <w:p w14:paraId="4E58E58D" w14:textId="7F64EC26" w:rsidR="005732C1" w:rsidRPr="005A24CE" w:rsidRDefault="00ED0535" w:rsidP="006655BF">
      <w:pPr>
        <w:rPr>
          <w:i/>
          <w:iCs/>
        </w:rPr>
      </w:pPr>
      <w:r w:rsidRPr="005A24CE">
        <w:rPr>
          <w:i/>
          <w:iCs/>
        </w:rPr>
        <w:t>2 Sam</w:t>
      </w:r>
      <w:r w:rsidR="006E2009">
        <w:rPr>
          <w:i/>
          <w:iCs/>
        </w:rPr>
        <w:t>.</w:t>
      </w:r>
      <w:r w:rsidRPr="005A24CE">
        <w:rPr>
          <w:i/>
          <w:iCs/>
        </w:rPr>
        <w:t xml:space="preserve"> 4</w:t>
      </w:r>
    </w:p>
    <w:p w14:paraId="44382DEA" w14:textId="77777777" w:rsidR="00CE132E" w:rsidRPr="00B235FD" w:rsidRDefault="00CE132E" w:rsidP="00CE132E">
      <w:pPr>
        <w:rPr>
          <w:u w:val="single"/>
        </w:rPr>
      </w:pPr>
      <w:r w:rsidRPr="00B235FD">
        <w:rPr>
          <w:u w:val="single"/>
        </w:rPr>
        <w:t xml:space="preserve">Ish-bosheth </w:t>
      </w:r>
    </w:p>
    <w:p w14:paraId="4EA563D4" w14:textId="51B125E4" w:rsidR="00ED0535" w:rsidRPr="00460595" w:rsidRDefault="00C61546" w:rsidP="006655BF">
      <w:pPr>
        <w:rPr>
          <w:u w:val="single"/>
        </w:rPr>
      </w:pPr>
      <w:r>
        <w:t xml:space="preserve">See </w:t>
      </w:r>
      <w:r w:rsidR="00460595" w:rsidRPr="00B235FD">
        <w:rPr>
          <w:u w:val="single"/>
        </w:rPr>
        <w:t xml:space="preserve">Ish-bosheth </w:t>
      </w:r>
      <w:r>
        <w:t>under 2 Sam</w:t>
      </w:r>
      <w:r w:rsidR="00AC38B6">
        <w:t>.</w:t>
      </w:r>
      <w:r>
        <w:t xml:space="preserve"> 2.</w:t>
      </w:r>
    </w:p>
    <w:p w14:paraId="48F85A43" w14:textId="10E55698" w:rsidR="00C61546" w:rsidRDefault="00C61546" w:rsidP="006655BF">
      <w:pPr>
        <w:rPr>
          <w:u w:val="single"/>
        </w:rPr>
      </w:pPr>
      <w:r w:rsidRPr="009D45C6">
        <w:rPr>
          <w:u w:val="single"/>
        </w:rPr>
        <w:t>Me</w:t>
      </w:r>
      <w:r w:rsidR="00B548B8" w:rsidRPr="009D45C6">
        <w:rPr>
          <w:u w:val="single"/>
        </w:rPr>
        <w:t>phi</w:t>
      </w:r>
      <w:r w:rsidR="009D45C6" w:rsidRPr="009D45C6">
        <w:rPr>
          <w:u w:val="single"/>
        </w:rPr>
        <w:t xml:space="preserve">bosheth </w:t>
      </w:r>
    </w:p>
    <w:p w14:paraId="7D3BEDB9" w14:textId="5CBEFF07" w:rsidR="009D45C6" w:rsidRDefault="009D45C6" w:rsidP="006655BF">
      <w:r w:rsidRPr="009D45C6">
        <w:t xml:space="preserve">Mephibosheth </w:t>
      </w:r>
      <w:r w:rsidR="003E549F">
        <w:t>wa</w:t>
      </w:r>
      <w:r w:rsidRPr="009D45C6">
        <w:t>s referred to as Merib-Ba</w:t>
      </w:r>
      <w:r w:rsidR="00941344">
        <w:t>al</w:t>
      </w:r>
      <w:r w:rsidRPr="009D45C6">
        <w:t xml:space="preserve"> in 1 Chr</w:t>
      </w:r>
      <w:r>
        <w:t xml:space="preserve">onicles </w:t>
      </w:r>
      <w:r w:rsidRPr="009D45C6">
        <w:t>8:34</w:t>
      </w:r>
      <w:r>
        <w:t xml:space="preserve"> and </w:t>
      </w:r>
      <w:r w:rsidRPr="009D45C6">
        <w:t>9:40</w:t>
      </w:r>
      <w:r>
        <w:t xml:space="preserve">. </w:t>
      </w:r>
      <w:r w:rsidR="00941344">
        <w:t>Merib-Baal literary translates</w:t>
      </w:r>
      <w:r w:rsidR="003E549F">
        <w:t xml:space="preserve"> as </w:t>
      </w:r>
      <w:r w:rsidR="00941344">
        <w:t xml:space="preserve">“a striver against Baal,” but his name was likely changed </w:t>
      </w:r>
      <w:r w:rsidR="00491AC4">
        <w:t xml:space="preserve">because </w:t>
      </w:r>
      <w:r w:rsidR="003E549F">
        <w:t xml:space="preserve">of </w:t>
      </w:r>
      <w:r w:rsidR="00491AC4">
        <w:t xml:space="preserve">the term </w:t>
      </w:r>
      <w:r w:rsidR="00491AC4">
        <w:rPr>
          <w:i/>
          <w:iCs/>
        </w:rPr>
        <w:t>Baal</w:t>
      </w:r>
      <w:r w:rsidR="00491AC4">
        <w:t>’s association with idol worship.</w:t>
      </w:r>
    </w:p>
    <w:p w14:paraId="193A98BA" w14:textId="15571CD6" w:rsidR="00491AC4" w:rsidRDefault="00491AC4" w:rsidP="006655BF">
      <w:r>
        <w:t>Mephibosheth was a son of Jonathan and a grandson of Saul. He</w:t>
      </w:r>
      <w:r w:rsidR="006B54BF">
        <w:t xml:space="preserve"> was five years old when his father and grandfather died. His nurse dropped him when she was fleeing with him after their death. The fall left him crippled for the rest of his life. </w:t>
      </w:r>
      <w:r w:rsidR="002D408A">
        <w:t>(2 Sam</w:t>
      </w:r>
      <w:r w:rsidR="003E549F">
        <w:t>.</w:t>
      </w:r>
      <w:r w:rsidR="002D408A">
        <w:t xml:space="preserve"> 4:4) </w:t>
      </w:r>
    </w:p>
    <w:p w14:paraId="37877DA9" w14:textId="76204892" w:rsidR="002D408A" w:rsidRDefault="00194A76" w:rsidP="006655BF">
      <w:r>
        <w:lastRenderedPageBreak/>
        <w:t>Me</w:t>
      </w:r>
      <w:r w:rsidR="00E8697B">
        <w:t xml:space="preserve">phibosheth never attempted to gain the throne, and </w:t>
      </w:r>
      <w:r w:rsidR="00447344">
        <w:t>afterward</w:t>
      </w:r>
      <w:r w:rsidR="00041B1F">
        <w:t>,</w:t>
      </w:r>
      <w:r w:rsidR="00E8697B">
        <w:t xml:space="preserve"> David restore</w:t>
      </w:r>
      <w:r w:rsidR="003E549F">
        <w:t>d</w:t>
      </w:r>
      <w:r w:rsidR="00E8697B">
        <w:t xml:space="preserve"> Saul’s estates to him and g</w:t>
      </w:r>
      <w:r w:rsidR="003B501E">
        <w:t>ave</w:t>
      </w:r>
      <w:r w:rsidR="00E8697B">
        <w:t xml:space="preserve"> Mephibosheth a place at the royal table</w:t>
      </w:r>
      <w:r w:rsidR="003B501E">
        <w:t>.</w:t>
      </w:r>
      <w:r w:rsidR="00E8697B">
        <w:t xml:space="preserve"> (2 Sam. </w:t>
      </w:r>
      <w:r w:rsidR="00983169">
        <w:t xml:space="preserve">9:7-13) David showed </w:t>
      </w:r>
      <w:r w:rsidR="00C56091">
        <w:t>Mephibosheth</w:t>
      </w:r>
      <w:r w:rsidR="00983169">
        <w:t xml:space="preserve"> such grace because </w:t>
      </w:r>
      <w:r w:rsidR="00C56091">
        <w:t>of</w:t>
      </w:r>
      <w:r w:rsidR="00983169">
        <w:t xml:space="preserve"> the </w:t>
      </w:r>
      <w:r w:rsidR="00C56091">
        <w:t>covenant he had made with Jonathan in 1 Samual 20.</w:t>
      </w:r>
    </w:p>
    <w:p w14:paraId="303C3538" w14:textId="1135820E" w:rsidR="00C56091" w:rsidRPr="00491AC4" w:rsidRDefault="00D53210" w:rsidP="006655BF">
      <w:r>
        <w:t>Durin</w:t>
      </w:r>
      <w:r w:rsidR="00FE7E25">
        <w:t xml:space="preserve">g </w:t>
      </w:r>
      <w:r w:rsidR="009A5D51">
        <w:t>Absalom’s</w:t>
      </w:r>
      <w:r w:rsidR="00FE7E25">
        <w:t xml:space="preserve"> rebellion, Ziba falsely accused Mephibosheth of being </w:t>
      </w:r>
      <w:r w:rsidR="009A5D51">
        <w:t>disloyal</w:t>
      </w:r>
      <w:r w:rsidR="00FE7E25">
        <w:t xml:space="preserve"> to David</w:t>
      </w:r>
      <w:r w:rsidR="003B501E">
        <w:t>.</w:t>
      </w:r>
      <w:r w:rsidR="00FE7E25">
        <w:t xml:space="preserve"> (2 Sam. </w:t>
      </w:r>
      <w:r w:rsidR="0093095A">
        <w:t xml:space="preserve">16:1-4) </w:t>
      </w:r>
      <w:r w:rsidR="009A5D51">
        <w:t>Unfortunately</w:t>
      </w:r>
      <w:r w:rsidR="0093095A">
        <w:t xml:space="preserve">, David believed Ziba’s lie and stripped Saul’s territory from Mephibosheth and gave it to Ziba. In time, </w:t>
      </w:r>
      <w:r w:rsidR="009A5D51">
        <w:t>David learn</w:t>
      </w:r>
      <w:r w:rsidR="003B501E">
        <w:t>ed</w:t>
      </w:r>
      <w:r w:rsidR="009A5D51">
        <w:t xml:space="preserve"> of Ziba’s deceit and </w:t>
      </w:r>
      <w:r w:rsidR="00DD2B42">
        <w:t>offer</w:t>
      </w:r>
      <w:r w:rsidR="003B501E">
        <w:t>ed</w:t>
      </w:r>
      <w:r w:rsidR="00DD2B42">
        <w:t xml:space="preserve"> to restore half of Saul’s estates back to Mephibosheth. He refuse</w:t>
      </w:r>
      <w:r w:rsidR="003B501E">
        <w:t>d</w:t>
      </w:r>
      <w:r w:rsidR="00DD2B42">
        <w:t xml:space="preserve"> David’s offer</w:t>
      </w:r>
      <w:r w:rsidR="00447344">
        <w:t>,</w:t>
      </w:r>
      <w:r w:rsidR="00DD2B42">
        <w:t xml:space="preserve"> saying, “</w:t>
      </w:r>
      <w:r w:rsidR="00016068">
        <w:t>Oh, let him take it all</w:t>
      </w:r>
      <w:r w:rsidR="00B6209A">
        <w:t>, since my lord the king has come safely home.” (2 Sam</w:t>
      </w:r>
      <w:r w:rsidR="003B501E">
        <w:t>.</w:t>
      </w:r>
      <w:r w:rsidR="00B6209A">
        <w:t xml:space="preserve"> 19:30)</w:t>
      </w:r>
      <w:r w:rsidR="00B6209A">
        <w:rPr>
          <w:rStyle w:val="FootnoteReference"/>
        </w:rPr>
        <w:footnoteReference w:id="95"/>
      </w:r>
    </w:p>
    <w:p w14:paraId="6C4607EE" w14:textId="5DC47AE5" w:rsidR="004A078C" w:rsidRPr="005A24CE" w:rsidRDefault="006E1563" w:rsidP="006655BF">
      <w:pPr>
        <w:rPr>
          <w:i/>
          <w:iCs/>
        </w:rPr>
      </w:pPr>
      <w:r w:rsidRPr="005A24CE">
        <w:rPr>
          <w:i/>
          <w:iCs/>
        </w:rPr>
        <w:t>2 Sam</w:t>
      </w:r>
      <w:r w:rsidR="006E2009">
        <w:rPr>
          <w:i/>
          <w:iCs/>
        </w:rPr>
        <w:t>.</w:t>
      </w:r>
      <w:r w:rsidRPr="005A24CE">
        <w:rPr>
          <w:i/>
          <w:iCs/>
        </w:rPr>
        <w:t xml:space="preserve"> 5</w:t>
      </w:r>
    </w:p>
    <w:p w14:paraId="39DAA463" w14:textId="3DC684C1" w:rsidR="00590A19" w:rsidRDefault="00740D3B" w:rsidP="006655BF">
      <w:pPr>
        <w:rPr>
          <w:u w:val="single"/>
        </w:rPr>
      </w:pPr>
      <w:r>
        <w:rPr>
          <w:u w:val="single"/>
        </w:rPr>
        <w:t>The City of David</w:t>
      </w:r>
    </w:p>
    <w:p w14:paraId="36F3AE13" w14:textId="14F69372" w:rsidR="00740D3B" w:rsidRDefault="00385EF8" w:rsidP="006655BF">
      <w:r>
        <w:t xml:space="preserve">The City of David </w:t>
      </w:r>
      <w:r w:rsidR="00BF1B84">
        <w:t>was called by</w:t>
      </w:r>
      <w:r>
        <w:t xml:space="preserve"> several names in the Old Testament: </w:t>
      </w:r>
      <w:r w:rsidR="00DC3939">
        <w:t>Jebus (Jud</w:t>
      </w:r>
      <w:r w:rsidR="00BF1B84">
        <w:t>g</w:t>
      </w:r>
      <w:r w:rsidR="00DC3939">
        <w:t>. 19:10), Salem (P</w:t>
      </w:r>
      <w:r w:rsidR="00183A16">
        <w:t>s</w:t>
      </w:r>
      <w:r w:rsidR="00DC3939">
        <w:t>. 76:2), Zion (2 Sam. 5:7)</w:t>
      </w:r>
      <w:r w:rsidR="005C38DC">
        <w:t>, and, of course, Jerusalem (2 Sam</w:t>
      </w:r>
      <w:r w:rsidR="00183A16">
        <w:t>.</w:t>
      </w:r>
      <w:r w:rsidR="005C38DC">
        <w:t xml:space="preserve"> 5:2).</w:t>
      </w:r>
      <w:r w:rsidR="00617E65">
        <w:t xml:space="preserve"> </w:t>
      </w:r>
      <w:r w:rsidR="00B47785">
        <w:t xml:space="preserve">Jerusalem was originally a Jebusite city located on the border between </w:t>
      </w:r>
      <w:r>
        <w:t xml:space="preserve">Judah and </w:t>
      </w:r>
      <w:r w:rsidR="00024AA0">
        <w:t>Benjamin</w:t>
      </w:r>
      <w:r>
        <w:t xml:space="preserve">. </w:t>
      </w:r>
      <w:r w:rsidR="00024AA0">
        <w:t xml:space="preserve">After David </w:t>
      </w:r>
      <w:r w:rsidR="00387587">
        <w:t xml:space="preserve">had captured the city, he renamed it and made it </w:t>
      </w:r>
      <w:r w:rsidR="00024AA0">
        <w:t xml:space="preserve">his capital. The </w:t>
      </w:r>
      <w:r w:rsidR="00AC68A3">
        <w:t xml:space="preserve">site is located on the </w:t>
      </w:r>
      <w:r w:rsidR="00183A16">
        <w:t>southeastern</w:t>
      </w:r>
      <w:r w:rsidR="00AC68A3">
        <w:t xml:space="preserve"> hill of Old Jerusalem.</w:t>
      </w:r>
      <w:r w:rsidR="00AC68A3">
        <w:rPr>
          <w:rStyle w:val="FootnoteReference"/>
        </w:rPr>
        <w:footnoteReference w:id="96"/>
      </w:r>
      <w:r w:rsidR="00AC68A3">
        <w:t xml:space="preserve"> </w:t>
      </w:r>
    </w:p>
    <w:p w14:paraId="3AB8D499" w14:textId="77777777" w:rsidR="00F93EDD" w:rsidRDefault="00617E65" w:rsidP="00F93EDD">
      <w:r>
        <w:t xml:space="preserve">Why was Daivd’s first act as king to take Jerusalem from the </w:t>
      </w:r>
      <w:r w:rsidR="0040455E">
        <w:t xml:space="preserve">Jebusites? According to Bergen, </w:t>
      </w:r>
    </w:p>
    <w:p w14:paraId="07AF9455" w14:textId="5B1D74A5" w:rsidR="00617E65" w:rsidRPr="00B47785" w:rsidRDefault="0040455E" w:rsidP="00F93EDD">
      <w:pPr>
        <w:ind w:left="720"/>
      </w:pPr>
      <w:r>
        <w:t>By David making his first recorded act as Israel’s king that of fulfilling the long-</w:t>
      </w:r>
      <w:r w:rsidR="00F93EDD">
        <w:t>neglected</w:t>
      </w:r>
      <w:r>
        <w:t xml:space="preserve"> Torah command </w:t>
      </w:r>
      <w:r w:rsidR="00B8017A">
        <w:t xml:space="preserve">to </w:t>
      </w:r>
      <w:r w:rsidR="00F93EDD">
        <w:t>dispossess</w:t>
      </w:r>
      <w:r w:rsidR="00B8017A">
        <w:t xml:space="preserve"> the Jebusites and of </w:t>
      </w:r>
      <w:r w:rsidR="00F93EDD">
        <w:t>reinstating</w:t>
      </w:r>
      <w:r w:rsidR="00B8017A">
        <w:t xml:space="preserve"> the crusade to eradicate them from the land (cf. Exod</w:t>
      </w:r>
      <w:r w:rsidR="00787E16">
        <w:t>.</w:t>
      </w:r>
      <w:r w:rsidR="00B8017A">
        <w:t xml:space="preserve"> 23:23-24; Deut</w:t>
      </w:r>
      <w:r w:rsidR="00787E16">
        <w:t>.</w:t>
      </w:r>
      <w:r w:rsidR="00B8017A">
        <w:t xml:space="preserve"> 7:1-2; 20:17)</w:t>
      </w:r>
      <w:r w:rsidR="00DC0233">
        <w:t xml:space="preserve">, he was demonstrating his continuity with Moses and establishing himself as a king devoted to </w:t>
      </w:r>
      <w:r w:rsidR="00787E16">
        <w:t xml:space="preserve">the </w:t>
      </w:r>
      <w:r w:rsidR="00F93EDD">
        <w:t>Lord’s commands (cf. Deut</w:t>
      </w:r>
      <w:r w:rsidR="00787E16">
        <w:t>.</w:t>
      </w:r>
      <w:r w:rsidR="00F93EDD">
        <w:t xml:space="preserve"> 17:</w:t>
      </w:r>
      <w:r w:rsidR="00787E16">
        <w:t xml:space="preserve">19) </w:t>
      </w:r>
      <w:r w:rsidR="00DF3259">
        <w:t>….</w:t>
      </w:r>
      <w:r w:rsidR="00F93EDD">
        <w:t xml:space="preserve"> Jerusalem would become a trophy of obedience to the Lord for David and his descendants. </w:t>
      </w:r>
    </w:p>
    <w:p w14:paraId="2ED10AB2" w14:textId="7953EC9E" w:rsidR="006B3029" w:rsidRDefault="006B3029" w:rsidP="006655BF">
      <w:pPr>
        <w:rPr>
          <w:u w:val="single"/>
        </w:rPr>
      </w:pPr>
      <w:r w:rsidRPr="00511B16">
        <w:rPr>
          <w:u w:val="single"/>
        </w:rPr>
        <w:t xml:space="preserve">The Millo </w:t>
      </w:r>
    </w:p>
    <w:p w14:paraId="2E39C6F3" w14:textId="7C70FA8C" w:rsidR="00511B16" w:rsidRPr="00511B16" w:rsidRDefault="00511B16" w:rsidP="006655BF">
      <w:r>
        <w:t xml:space="preserve">The Hebrew </w:t>
      </w:r>
      <w:r w:rsidR="00A80F1B">
        <w:t>for Millo literally mean</w:t>
      </w:r>
      <w:r w:rsidR="00D822F3">
        <w:t>t</w:t>
      </w:r>
      <w:r w:rsidR="00A80F1B">
        <w:t xml:space="preserve"> “the fill.” The Millo was a series of terrace wall</w:t>
      </w:r>
      <w:r w:rsidR="00BC3DAD">
        <w:t>s</w:t>
      </w:r>
      <w:r w:rsidR="005D457E">
        <w:t xml:space="preserve"> built on a steep slope that</w:t>
      </w:r>
      <w:r w:rsidR="00BC3DAD">
        <w:t xml:space="preserve"> supported </w:t>
      </w:r>
      <w:r w:rsidR="0083712E">
        <w:t>the fill</w:t>
      </w:r>
      <w:r w:rsidR="00BC3DAD">
        <w:t xml:space="preserve"> behind</w:t>
      </w:r>
      <w:r w:rsidR="0083712E">
        <w:t xml:space="preserve"> it in order to create level areas. These artificial platforms had houses built atop them. </w:t>
      </w:r>
      <w:r w:rsidR="001E1CA1">
        <w:t>Apparently, the king looked after the construction and maintenance of these terraces. “</w:t>
      </w:r>
      <w:r w:rsidR="00D97DF6">
        <w:t>During heavy rainfalls, the fill became heavy and increased the pressure on the terrace walls, thus requiring regular maintenance of these walls. When this construction was neglected, the houses would fall down the steep slope</w:t>
      </w:r>
      <w:r w:rsidR="006669FD">
        <w:t>,</w:t>
      </w:r>
      <w:r w:rsidR="00D97DF6">
        <w:t xml:space="preserve"> and the city would disintegrate. </w:t>
      </w:r>
      <w:r w:rsidR="00920AEA">
        <w:t>Remains</w:t>
      </w:r>
      <w:r w:rsidR="00D97DF6">
        <w:t xml:space="preserve"> of these supporting walls have been found o</w:t>
      </w:r>
      <w:r w:rsidR="006669FD">
        <w:t>n</w:t>
      </w:r>
      <w:r w:rsidR="00D97DF6">
        <w:t xml:space="preserve"> the eastern slop</w:t>
      </w:r>
      <w:r w:rsidR="006669FD">
        <w:t>e</w:t>
      </w:r>
      <w:r w:rsidR="00D97DF6">
        <w:t xml:space="preserve"> of the city of David.”</w:t>
      </w:r>
      <w:r w:rsidR="00D97DF6">
        <w:rPr>
          <w:rStyle w:val="FootnoteReference"/>
        </w:rPr>
        <w:footnoteReference w:id="97"/>
      </w:r>
      <w:r w:rsidR="00D97DF6">
        <w:t xml:space="preserve"> </w:t>
      </w:r>
    </w:p>
    <w:p w14:paraId="357308A0" w14:textId="765703D3" w:rsidR="006B3029" w:rsidRPr="0077706F" w:rsidRDefault="000F041A" w:rsidP="006655BF">
      <w:pPr>
        <w:rPr>
          <w:u w:val="single"/>
        </w:rPr>
      </w:pPr>
      <w:r w:rsidRPr="0077706F">
        <w:rPr>
          <w:u w:val="single"/>
        </w:rPr>
        <w:lastRenderedPageBreak/>
        <w:t>Hiram</w:t>
      </w:r>
      <w:r w:rsidR="005D457E">
        <w:rPr>
          <w:u w:val="single"/>
        </w:rPr>
        <w:t>,</w:t>
      </w:r>
      <w:r w:rsidRPr="0077706F">
        <w:rPr>
          <w:u w:val="single"/>
        </w:rPr>
        <w:t xml:space="preserve"> king of Tyre </w:t>
      </w:r>
    </w:p>
    <w:p w14:paraId="03D60815" w14:textId="0074C4DD" w:rsidR="00F93EDD" w:rsidRDefault="006904F3" w:rsidP="006655BF">
      <w:r>
        <w:t xml:space="preserve">Hiram </w:t>
      </w:r>
      <w:r w:rsidR="00ED337B">
        <w:t>provide</w:t>
      </w:r>
      <w:r w:rsidR="001B36E2">
        <w:t>d</w:t>
      </w:r>
      <w:r w:rsidR="00ED337B">
        <w:t xml:space="preserve"> David with cedars to build his house and later provide</w:t>
      </w:r>
      <w:r w:rsidR="001B36E2">
        <w:t>d</w:t>
      </w:r>
      <w:r w:rsidR="00ED337B">
        <w:t xml:space="preserve"> </w:t>
      </w:r>
      <w:r w:rsidR="005E27A0">
        <w:t>cedars</w:t>
      </w:r>
      <w:r w:rsidR="00ED337B">
        <w:t xml:space="preserve"> </w:t>
      </w:r>
      <w:r w:rsidR="001B36E2">
        <w:t>for</w:t>
      </w:r>
      <w:r w:rsidR="00ED337B">
        <w:t xml:space="preserve"> Solomon to build the temple. (1 K</w:t>
      </w:r>
      <w:r w:rsidR="001B36E2">
        <w:t>ings</w:t>
      </w:r>
      <w:r w:rsidR="00ED337B">
        <w:t xml:space="preserve"> </w:t>
      </w:r>
      <w:r w:rsidR="001E5E74">
        <w:t>5:1-18)</w:t>
      </w:r>
      <w:r w:rsidR="00734927">
        <w:t xml:space="preserve"> These cedars of Lebanon, which </w:t>
      </w:r>
      <w:r w:rsidR="004A7966">
        <w:t>have</w:t>
      </w:r>
      <w:r w:rsidR="00734927">
        <w:t xml:space="preserve"> </w:t>
      </w:r>
      <w:r w:rsidR="00836B52">
        <w:t xml:space="preserve">all but disappeared, were famous in the ancient Near East. </w:t>
      </w:r>
      <w:r w:rsidR="009A4A6D">
        <w:t>Assyrian</w:t>
      </w:r>
      <w:r w:rsidR="00836B52">
        <w:t xml:space="preserve"> reliefs </w:t>
      </w:r>
      <w:r w:rsidR="005E27A0">
        <w:t xml:space="preserve">have been found </w:t>
      </w:r>
      <w:r w:rsidR="00836B52">
        <w:t xml:space="preserve">depicting the trees being cut down and taken </w:t>
      </w:r>
      <w:r w:rsidR="005E27A0">
        <w:t>to Ninevah.</w:t>
      </w:r>
    </w:p>
    <w:p w14:paraId="7C98BF4F" w14:textId="61754433" w:rsidR="005E27A0" w:rsidRDefault="00B062C2" w:rsidP="006655BF">
      <w:r>
        <w:t xml:space="preserve">Josephus </w:t>
      </w:r>
      <w:r w:rsidR="00EC05D7">
        <w:t xml:space="preserve">stated </w:t>
      </w:r>
      <w:r>
        <w:t>that Hiram’s reign did not begin until near the end of David’s own reign.</w:t>
      </w:r>
      <w:r w:rsidR="00F65BCB">
        <w:t xml:space="preserve"> Either this means that the construction should be dated to the end of David’s </w:t>
      </w:r>
      <w:r w:rsidR="002D5270">
        <w:t>reign,</w:t>
      </w:r>
      <w:r w:rsidR="00F65BCB">
        <w:t xml:space="preserve"> or </w:t>
      </w:r>
      <w:r w:rsidR="00B12C9E">
        <w:t xml:space="preserve">the Hiram mentioned in 1 Kings 5 </w:t>
      </w:r>
      <w:r w:rsidR="00EC05D7">
        <w:t>ma</w:t>
      </w:r>
      <w:r w:rsidR="002F4C99">
        <w:t>y</w:t>
      </w:r>
      <w:r w:rsidR="00B12C9E">
        <w:t xml:space="preserve"> </w:t>
      </w:r>
      <w:r w:rsidR="002F4C99">
        <w:t>have been</w:t>
      </w:r>
      <w:r w:rsidR="00B12C9E">
        <w:t xml:space="preserve"> the son of the Hiram </w:t>
      </w:r>
      <w:r w:rsidR="002D5270">
        <w:t>mentioned</w:t>
      </w:r>
      <w:r w:rsidR="00B12C9E">
        <w:t xml:space="preserve"> in 2 Samual </w:t>
      </w:r>
      <w:r w:rsidR="002D5270">
        <w:t>5.</w:t>
      </w:r>
      <w:r w:rsidR="002D5270">
        <w:rPr>
          <w:rStyle w:val="FootnoteReference"/>
        </w:rPr>
        <w:footnoteReference w:id="98"/>
      </w:r>
      <w:r w:rsidR="002D5270">
        <w:t xml:space="preserve"> </w:t>
      </w:r>
    </w:p>
    <w:p w14:paraId="1B102644" w14:textId="55AB7E3A" w:rsidR="006E1563" w:rsidRPr="005A24CE" w:rsidRDefault="00E01D66" w:rsidP="006655BF">
      <w:pPr>
        <w:rPr>
          <w:i/>
          <w:iCs/>
        </w:rPr>
      </w:pPr>
      <w:r w:rsidRPr="005A24CE">
        <w:rPr>
          <w:i/>
          <w:iCs/>
        </w:rPr>
        <w:t>2 Sam</w:t>
      </w:r>
      <w:r w:rsidR="006E2009">
        <w:rPr>
          <w:i/>
          <w:iCs/>
        </w:rPr>
        <w:t>.</w:t>
      </w:r>
      <w:r w:rsidRPr="005A24CE">
        <w:rPr>
          <w:i/>
          <w:iCs/>
        </w:rPr>
        <w:t xml:space="preserve"> 6</w:t>
      </w:r>
    </w:p>
    <w:p w14:paraId="0DF89050" w14:textId="7F4C49A2" w:rsidR="00E01D66" w:rsidRDefault="00E01D66" w:rsidP="006655BF">
      <w:pPr>
        <w:rPr>
          <w:u w:val="single"/>
        </w:rPr>
      </w:pPr>
      <w:r w:rsidRPr="0065124A">
        <w:rPr>
          <w:u w:val="single"/>
        </w:rPr>
        <w:t>Uzzah</w:t>
      </w:r>
    </w:p>
    <w:p w14:paraId="7BA3D727" w14:textId="4917467A" w:rsidR="0065124A" w:rsidRDefault="00EF362E" w:rsidP="006655BF">
      <w:r>
        <w:t>Uzzah was a son of Ab</w:t>
      </w:r>
      <w:r w:rsidR="007143AA">
        <w:t xml:space="preserve">inidab of Kiriath-jearim. </w:t>
      </w:r>
      <w:r w:rsidR="00AC6242">
        <w:t>(For more information</w:t>
      </w:r>
      <w:r w:rsidR="002F4C99">
        <w:t xml:space="preserve">, see </w:t>
      </w:r>
      <w:r w:rsidR="00AC6242" w:rsidRPr="003C353C">
        <w:rPr>
          <w:u w:val="single"/>
        </w:rPr>
        <w:t>Kiriath-jearim</w:t>
      </w:r>
      <w:r w:rsidR="00AC6242" w:rsidRPr="002F4C99">
        <w:rPr>
          <w:u w:val="single"/>
        </w:rPr>
        <w:t xml:space="preserve"> </w:t>
      </w:r>
      <w:r w:rsidR="00AC6242">
        <w:t>under 1 Sam</w:t>
      </w:r>
      <w:r w:rsidR="002F4C99">
        <w:t>.</w:t>
      </w:r>
      <w:r w:rsidR="00AC6242">
        <w:t xml:space="preserve"> 6) </w:t>
      </w:r>
      <w:r w:rsidR="003D5D41">
        <w:t>He, along with his brother Ahio</w:t>
      </w:r>
      <w:r w:rsidR="00C07673">
        <w:t xml:space="preserve">, help to </w:t>
      </w:r>
      <w:r w:rsidR="009122D0">
        <w:t>guide</w:t>
      </w:r>
      <w:r w:rsidR="00C07673">
        <w:t xml:space="preserve"> the cart carrying the </w:t>
      </w:r>
      <w:r w:rsidR="00066EBD">
        <w:t>A</w:t>
      </w:r>
      <w:r w:rsidR="00C07673">
        <w:t xml:space="preserve">rk of God from Baalah to Jerusalem. Uzzah </w:t>
      </w:r>
      <w:r w:rsidR="00066EBD">
        <w:t>wa</w:t>
      </w:r>
      <w:r w:rsidR="00C07673">
        <w:t xml:space="preserve">s killed when he </w:t>
      </w:r>
      <w:r w:rsidR="003C353C">
        <w:t>reached</w:t>
      </w:r>
      <w:r w:rsidR="0061300F">
        <w:t xml:space="preserve"> out to steady the ark after the oxen stumbled. As a result of this incident, David </w:t>
      </w:r>
      <w:r w:rsidR="00282FFD">
        <w:t>placed the ark at Obed-edom’s house. (2 Sam</w:t>
      </w:r>
      <w:r w:rsidR="00066EBD">
        <w:t>.</w:t>
      </w:r>
      <w:r w:rsidR="00282FFD">
        <w:t xml:space="preserve"> 6:3-10)</w:t>
      </w:r>
      <w:r w:rsidR="00536E11">
        <w:rPr>
          <w:rStyle w:val="FootnoteReference"/>
        </w:rPr>
        <w:footnoteReference w:id="99"/>
      </w:r>
    </w:p>
    <w:p w14:paraId="3B6B3DF5" w14:textId="156D4D8C" w:rsidR="00CD4D35" w:rsidRDefault="00CD4D35" w:rsidP="006655BF">
      <w:r>
        <w:t xml:space="preserve">Why </w:t>
      </w:r>
      <w:r w:rsidR="002348C1">
        <w:t xml:space="preserve">was Uzzah punished so severely? </w:t>
      </w:r>
      <w:r w:rsidR="00943BF6">
        <w:t xml:space="preserve">Unger </w:t>
      </w:r>
      <w:r w:rsidR="000D3AEF">
        <w:t>asserts that Uzzah</w:t>
      </w:r>
      <w:r w:rsidR="009A4A6D">
        <w:t xml:space="preserve"> and the others</w:t>
      </w:r>
      <w:r w:rsidR="000D3AEF">
        <w:t xml:space="preserve"> </w:t>
      </w:r>
      <w:r w:rsidR="00ED56A2">
        <w:t>sinned by placing the ark on a cart, as the Philistines had done (1 Sam</w:t>
      </w:r>
      <w:r w:rsidR="00066EBD">
        <w:t>.</w:t>
      </w:r>
      <w:r w:rsidR="00ED56A2">
        <w:t xml:space="preserve"> 6:7), instead of </w:t>
      </w:r>
      <w:r w:rsidR="00DD03E6">
        <w:t>obeying the Lord’s command that only the Levites should move the ark</w:t>
      </w:r>
      <w:r w:rsidR="00066EBD">
        <w:t>.</w:t>
      </w:r>
      <w:r w:rsidR="00DD03E6">
        <w:t xml:space="preserve"> (Num. </w:t>
      </w:r>
      <w:r w:rsidR="00697E93">
        <w:t xml:space="preserve">4) </w:t>
      </w:r>
      <w:r w:rsidR="001E76E6">
        <w:t xml:space="preserve">While it appears that Uzzah had no idea of the “unapproachable holiness of the </w:t>
      </w:r>
      <w:r w:rsidR="00066EBD">
        <w:t>A</w:t>
      </w:r>
      <w:r w:rsidR="001E76E6">
        <w:t>rk of God,</w:t>
      </w:r>
      <w:r w:rsidR="005C5A22">
        <w:t>” he had to “expiate his offense with his life, as a warning to all the Israelites.”</w:t>
      </w:r>
      <w:r w:rsidR="005C5A22">
        <w:rPr>
          <w:rStyle w:val="FootnoteReference"/>
        </w:rPr>
        <w:footnoteReference w:id="100"/>
      </w:r>
      <w:r w:rsidR="005C5A22">
        <w:t xml:space="preserve"> </w:t>
      </w:r>
    </w:p>
    <w:p w14:paraId="2F484376" w14:textId="4ACD472C" w:rsidR="00B46B0C" w:rsidRPr="00B46B0C" w:rsidRDefault="00C47F43" w:rsidP="006655BF">
      <w:pPr>
        <w:rPr>
          <w:u w:val="single"/>
        </w:rPr>
      </w:pPr>
      <w:r>
        <w:rPr>
          <w:u w:val="single"/>
        </w:rPr>
        <w:t>“David was angry because the LORD had broken out against Uzzah”</w:t>
      </w:r>
    </w:p>
    <w:p w14:paraId="546CAC3A" w14:textId="2AAF18F4" w:rsidR="00C47F43" w:rsidRPr="0065124A" w:rsidRDefault="00C47F43" w:rsidP="003A2957">
      <w:r>
        <w:t>The phrase, found in</w:t>
      </w:r>
      <w:r w:rsidR="00C16547">
        <w:t xml:space="preserve"> </w:t>
      </w:r>
      <w:r w:rsidR="00AF7AB2">
        <w:t>2 Sam</w:t>
      </w:r>
      <w:r>
        <w:t>uel</w:t>
      </w:r>
      <w:r w:rsidR="00B46B0C">
        <w:t xml:space="preserve"> 6:8</w:t>
      </w:r>
      <w:r>
        <w:t>, has two possible interpretations</w:t>
      </w:r>
      <w:r w:rsidR="00AF3F32">
        <w:t>,</w:t>
      </w:r>
      <w:r>
        <w:t xml:space="preserve"> according to Bergen. </w:t>
      </w:r>
      <w:r w:rsidR="003A2957">
        <w:t>“David was mad at God for killing Uzzah (unlikely, since God was merely enforcing the Tora</w:t>
      </w:r>
      <w:r w:rsidR="003F2759">
        <w:t>h</w:t>
      </w:r>
      <w:r w:rsidR="003A2957">
        <w:t xml:space="preserve">) or </w:t>
      </w:r>
      <w:r w:rsidR="00EE074D">
        <w:t>that he was upset that Uzzah had acted in such a way as to cause God to bring fatal judgment to bear (more likely).”</w:t>
      </w:r>
      <w:r w:rsidR="00EE074D">
        <w:rPr>
          <w:rStyle w:val="FootnoteReference"/>
        </w:rPr>
        <w:footnoteReference w:id="101"/>
      </w:r>
    </w:p>
    <w:p w14:paraId="2A8E1FCC" w14:textId="37E54600" w:rsidR="00E01D66" w:rsidRPr="0065124A" w:rsidRDefault="00E01D66" w:rsidP="006655BF">
      <w:pPr>
        <w:rPr>
          <w:u w:val="single"/>
        </w:rPr>
      </w:pPr>
      <w:r w:rsidRPr="0065124A">
        <w:rPr>
          <w:u w:val="single"/>
        </w:rPr>
        <w:t>Mi</w:t>
      </w:r>
      <w:r w:rsidR="00BA13EF" w:rsidRPr="0065124A">
        <w:rPr>
          <w:u w:val="single"/>
        </w:rPr>
        <w:t xml:space="preserve">chal </w:t>
      </w:r>
    </w:p>
    <w:p w14:paraId="218A96CA" w14:textId="16369279" w:rsidR="004A078C" w:rsidRPr="00CA404F" w:rsidRDefault="0065124A" w:rsidP="006655BF">
      <w:r>
        <w:t xml:space="preserve">See </w:t>
      </w:r>
      <w:r w:rsidR="001C74A5" w:rsidRPr="001C74A5">
        <w:rPr>
          <w:u w:val="single"/>
        </w:rPr>
        <w:t>Michal</w:t>
      </w:r>
      <w:r w:rsidR="001C74A5">
        <w:t xml:space="preserve"> </w:t>
      </w:r>
      <w:r w:rsidRPr="001C74A5">
        <w:t>under</w:t>
      </w:r>
      <w:r>
        <w:t xml:space="preserve"> 1 Sam</w:t>
      </w:r>
      <w:r w:rsidR="00B420FC">
        <w:t>.</w:t>
      </w:r>
      <w:r>
        <w:t xml:space="preserve"> 18. </w:t>
      </w:r>
      <w:r w:rsidR="001C74A5">
        <w:br w:type="page"/>
      </w:r>
      <w:r w:rsidR="0013169A" w:rsidRPr="005A24CE">
        <w:rPr>
          <w:i/>
          <w:iCs/>
        </w:rPr>
        <w:lastRenderedPageBreak/>
        <w:t>2 Sam</w:t>
      </w:r>
      <w:r w:rsidR="006E2009">
        <w:rPr>
          <w:i/>
          <w:iCs/>
        </w:rPr>
        <w:t>.</w:t>
      </w:r>
      <w:r w:rsidR="0013169A" w:rsidRPr="005A24CE">
        <w:rPr>
          <w:i/>
          <w:iCs/>
        </w:rPr>
        <w:t xml:space="preserve"> 7</w:t>
      </w:r>
    </w:p>
    <w:p w14:paraId="2C2D9A89" w14:textId="77777777" w:rsidR="00245FE8" w:rsidRDefault="001717B1" w:rsidP="006655BF">
      <w:pPr>
        <w:rPr>
          <w:u w:val="single"/>
        </w:rPr>
      </w:pPr>
      <w:r w:rsidRPr="00106508">
        <w:rPr>
          <w:u w:val="single"/>
        </w:rPr>
        <w:t xml:space="preserve">Davidic Covenant </w:t>
      </w:r>
    </w:p>
    <w:p w14:paraId="645CCD70" w14:textId="1A5D0124" w:rsidR="00D95E41" w:rsidRDefault="0049583F" w:rsidP="006655BF">
      <w:r>
        <w:t xml:space="preserve">The Davidic Covenant was “the most </w:t>
      </w:r>
      <w:r w:rsidR="00F057D4">
        <w:t>crucial theological statement in the Old Testament.”</w:t>
      </w:r>
      <w:r w:rsidR="00F057D4">
        <w:rPr>
          <w:rStyle w:val="FootnoteReference"/>
        </w:rPr>
        <w:footnoteReference w:id="102"/>
      </w:r>
      <w:r w:rsidR="00F057D4">
        <w:t xml:space="preserve"> </w:t>
      </w:r>
      <w:r w:rsidR="00245FE8">
        <w:t>According to Bergen</w:t>
      </w:r>
      <w:r w:rsidR="00AF3F32">
        <w:t>,</w:t>
      </w:r>
      <w:r w:rsidR="00245FE8">
        <w:t xml:space="preserve"> “</w:t>
      </w:r>
      <w:r w:rsidR="00106508">
        <w:t xml:space="preserve">The Lord’s </w:t>
      </w:r>
      <w:r w:rsidR="00CD6907">
        <w:t>words</w:t>
      </w:r>
      <w:r w:rsidR="00106508">
        <w:t xml:space="preserve"> </w:t>
      </w:r>
      <w:r w:rsidR="00CD6907">
        <w:t xml:space="preserve">recorded here </w:t>
      </w:r>
      <w:r w:rsidR="00245FE8">
        <w:t xml:space="preserve">constitute the longest recorded monologue attributed to him since the days of Moses (197 words).” </w:t>
      </w:r>
      <w:r w:rsidR="00245FE8">
        <w:rPr>
          <w:rStyle w:val="FootnoteReference"/>
        </w:rPr>
        <w:footnoteReference w:id="103"/>
      </w:r>
    </w:p>
    <w:p w14:paraId="66007003" w14:textId="431BCC65" w:rsidR="00F8693D" w:rsidRDefault="00F8693D" w:rsidP="006655BF">
      <w:r>
        <w:t xml:space="preserve">This covenant became the foundation for the hope that the later prophets would </w:t>
      </w:r>
      <w:r w:rsidR="00450C44">
        <w:t xml:space="preserve">declare. Through Assyrian and Babylonian devastation, the people clung to the promise that </w:t>
      </w:r>
      <w:r w:rsidR="00A34326">
        <w:t xml:space="preserve">David’s line would endure forever. </w:t>
      </w:r>
    </w:p>
    <w:p w14:paraId="1FB18B59" w14:textId="36C21392" w:rsidR="009122D0" w:rsidRDefault="009122D0" w:rsidP="006655BF">
      <w:r>
        <w:t xml:space="preserve">The New Testament writers understood Jesus as the ultimate fulfillment of the </w:t>
      </w:r>
      <w:r w:rsidR="3B1CC08C">
        <w:t>Davidi</w:t>
      </w:r>
      <w:r w:rsidR="7B36C999">
        <w:t>c</w:t>
      </w:r>
      <w:r>
        <w:t xml:space="preserve"> Covenant. </w:t>
      </w:r>
    </w:p>
    <w:p w14:paraId="34DFB16D" w14:textId="780944DF" w:rsidR="009122D0" w:rsidRDefault="0081632E" w:rsidP="009122D0">
      <w:pPr>
        <w:pStyle w:val="ListParagraph"/>
        <w:numPr>
          <w:ilvl w:val="0"/>
          <w:numId w:val="31"/>
        </w:numPr>
      </w:pPr>
      <w:r>
        <w:t>Jesus is the Son of David</w:t>
      </w:r>
      <w:r w:rsidR="006E1C4A">
        <w:t>.</w:t>
      </w:r>
      <w:r>
        <w:t xml:space="preserve"> (Matt. 1:1; Acts 13:22-23</w:t>
      </w:r>
      <w:r w:rsidR="003954A0">
        <w:t xml:space="preserve">; Rom. 1:3) </w:t>
      </w:r>
    </w:p>
    <w:p w14:paraId="32CC8AC1" w14:textId="16A40C43" w:rsidR="003954A0" w:rsidRDefault="003954A0" w:rsidP="009122D0">
      <w:pPr>
        <w:pStyle w:val="ListParagraph"/>
        <w:numPr>
          <w:ilvl w:val="0"/>
          <w:numId w:val="31"/>
        </w:numPr>
      </w:pPr>
      <w:r>
        <w:t>Jesus is the one who would rise from the dead</w:t>
      </w:r>
      <w:r w:rsidR="006E1C4A">
        <w:t>.</w:t>
      </w:r>
      <w:r>
        <w:t xml:space="preserve"> (Acts 2:30; 13:23)</w:t>
      </w:r>
    </w:p>
    <w:p w14:paraId="24D6CEDA" w14:textId="2E771386" w:rsidR="003954A0" w:rsidRDefault="003954A0" w:rsidP="009122D0">
      <w:pPr>
        <w:pStyle w:val="ListParagraph"/>
        <w:numPr>
          <w:ilvl w:val="0"/>
          <w:numId w:val="31"/>
        </w:numPr>
      </w:pPr>
      <w:r>
        <w:t xml:space="preserve">Jesus is the </w:t>
      </w:r>
      <w:r w:rsidR="00841388">
        <w:t>builder of the house of God</w:t>
      </w:r>
      <w:r w:rsidR="006E1C4A">
        <w:t>.</w:t>
      </w:r>
      <w:r w:rsidR="00841388">
        <w:t xml:space="preserve"> (John 2:19-22; Heb. 3:3-4)</w:t>
      </w:r>
    </w:p>
    <w:p w14:paraId="30017EFB" w14:textId="2934C376" w:rsidR="00841388" w:rsidRDefault="00D96306" w:rsidP="009122D0">
      <w:pPr>
        <w:pStyle w:val="ListParagraph"/>
        <w:numPr>
          <w:ilvl w:val="0"/>
          <w:numId w:val="31"/>
        </w:numPr>
      </w:pPr>
      <w:r>
        <w:t>Jesus is the possessor of a throne</w:t>
      </w:r>
      <w:r w:rsidR="006E1C4A">
        <w:t>.</w:t>
      </w:r>
      <w:r>
        <w:t xml:space="preserve"> (Heb</w:t>
      </w:r>
      <w:r w:rsidR="00CC21E8">
        <w:t>.</w:t>
      </w:r>
      <w:r>
        <w:t xml:space="preserve"> 1:8; Rev. 3:21)</w:t>
      </w:r>
    </w:p>
    <w:p w14:paraId="46A5110A" w14:textId="683B6027" w:rsidR="00D96306" w:rsidRDefault="00D96306" w:rsidP="009122D0">
      <w:pPr>
        <w:pStyle w:val="ListParagraph"/>
        <w:numPr>
          <w:ilvl w:val="0"/>
          <w:numId w:val="31"/>
        </w:numPr>
      </w:pPr>
      <w:r>
        <w:t>Jesus is the possessor of an eternal kingdom</w:t>
      </w:r>
      <w:r w:rsidR="006E1C4A">
        <w:t>.</w:t>
      </w:r>
      <w:r>
        <w:t xml:space="preserve"> (</w:t>
      </w:r>
      <w:r w:rsidR="004D565C">
        <w:t>1 Cor. 15:24-25; Eph. 5:5; Heb. 1:8)</w:t>
      </w:r>
    </w:p>
    <w:p w14:paraId="189056B7" w14:textId="48E4B3A6" w:rsidR="004D565C" w:rsidRDefault="00B76B58" w:rsidP="009122D0">
      <w:pPr>
        <w:pStyle w:val="ListParagraph"/>
        <w:numPr>
          <w:ilvl w:val="0"/>
          <w:numId w:val="31"/>
        </w:numPr>
      </w:pPr>
      <w:r>
        <w:t>Jesus is t</w:t>
      </w:r>
      <w:r w:rsidR="004D565C">
        <w:t>he Son of God</w:t>
      </w:r>
      <w:r w:rsidR="006E1C4A">
        <w:t>.</w:t>
      </w:r>
      <w:r w:rsidR="004D565C">
        <w:t xml:space="preserve"> (Mark 1:1; John 20:31; Acts 9:</w:t>
      </w:r>
      <w:r>
        <w:t>20)</w:t>
      </w:r>
    </w:p>
    <w:p w14:paraId="0553F465" w14:textId="7D0173E7" w:rsidR="00A34326" w:rsidRPr="00863843" w:rsidRDefault="00B76B58" w:rsidP="006655BF">
      <w:pPr>
        <w:pStyle w:val="ListParagraph"/>
        <w:numPr>
          <w:ilvl w:val="0"/>
          <w:numId w:val="31"/>
        </w:numPr>
      </w:pPr>
      <w:r>
        <w:t>Jesus is the product of an immaculate conception since he had God as his father</w:t>
      </w:r>
      <w:r w:rsidR="006E1C4A">
        <w:t>.</w:t>
      </w:r>
      <w:r>
        <w:t xml:space="preserve"> (</w:t>
      </w:r>
      <w:r w:rsidR="001C77D4">
        <w:t>Luke</w:t>
      </w:r>
      <w:r>
        <w:t xml:space="preserve"> 1:32-35)</w:t>
      </w:r>
      <w:r>
        <w:rPr>
          <w:rStyle w:val="FootnoteReference"/>
        </w:rPr>
        <w:footnoteReference w:id="104"/>
      </w:r>
    </w:p>
    <w:p w14:paraId="05BC0F32" w14:textId="20F009C7" w:rsidR="0013169A" w:rsidRPr="00863843" w:rsidRDefault="00841021" w:rsidP="006655BF">
      <w:pPr>
        <w:rPr>
          <w:u w:val="single"/>
        </w:rPr>
      </w:pPr>
      <w:r w:rsidRPr="00863843">
        <w:rPr>
          <w:u w:val="single"/>
        </w:rPr>
        <w:t xml:space="preserve">Nathan </w:t>
      </w:r>
    </w:p>
    <w:p w14:paraId="51DDE44E" w14:textId="3BC85D1B" w:rsidR="00841021" w:rsidRDefault="00200062" w:rsidP="006655BF">
      <w:r>
        <w:t xml:space="preserve">Nathan was the main prophet in David’s court. </w:t>
      </w:r>
      <w:r w:rsidR="00F428D9">
        <w:t xml:space="preserve">The Lord </w:t>
      </w:r>
      <w:r w:rsidR="00EC1DE9">
        <w:t xml:space="preserve">used Nathan to announce his covenant with David. (2 Sam. </w:t>
      </w:r>
      <w:r w:rsidR="00E427C9">
        <w:t xml:space="preserve">7:4-5) </w:t>
      </w:r>
      <w:r w:rsidR="00D72A21">
        <w:t>Nathan famously rebuked David for his sin with Bathsheba. (2 Sam. 12:</w:t>
      </w:r>
      <w:r w:rsidR="0061465B">
        <w:t xml:space="preserve">7) After David’s death, Nathan also served </w:t>
      </w:r>
      <w:r w:rsidR="008906F5">
        <w:t>Solomon</w:t>
      </w:r>
      <w:r w:rsidR="00AF3F32">
        <w:t>,</w:t>
      </w:r>
      <w:r w:rsidR="008906F5">
        <w:t xml:space="preserve"> and </w:t>
      </w:r>
      <w:r w:rsidR="000663F8">
        <w:t>the author of Chronicles states that Nathan was partly responsible for recording events</w:t>
      </w:r>
      <w:r w:rsidR="008A26F6">
        <w:t xml:space="preserve"> of David and Solomon’s reigns. (</w:t>
      </w:r>
      <w:r w:rsidR="0011264F">
        <w:t xml:space="preserve">1 Chron. 29:29; </w:t>
      </w:r>
      <w:r w:rsidR="00246455">
        <w:t>2 Chron. 9:29)</w:t>
      </w:r>
      <w:r w:rsidR="00246455">
        <w:rPr>
          <w:rStyle w:val="FootnoteReference"/>
        </w:rPr>
        <w:footnoteReference w:id="105"/>
      </w:r>
    </w:p>
    <w:p w14:paraId="6EA87F3E" w14:textId="26C4C3EA" w:rsidR="004A078C" w:rsidRPr="005A24CE" w:rsidRDefault="000E2C42" w:rsidP="006655BF">
      <w:pPr>
        <w:rPr>
          <w:i/>
          <w:iCs/>
        </w:rPr>
      </w:pPr>
      <w:r w:rsidRPr="005A24CE">
        <w:rPr>
          <w:i/>
          <w:iCs/>
        </w:rPr>
        <w:t>2 Sam</w:t>
      </w:r>
      <w:r w:rsidR="006E2009">
        <w:rPr>
          <w:i/>
          <w:iCs/>
        </w:rPr>
        <w:t>.</w:t>
      </w:r>
      <w:r w:rsidRPr="005A24CE">
        <w:rPr>
          <w:i/>
          <w:iCs/>
        </w:rPr>
        <w:t xml:space="preserve"> 8</w:t>
      </w:r>
    </w:p>
    <w:p w14:paraId="2DCB9170" w14:textId="22142B8A" w:rsidR="000E2C42" w:rsidRPr="00B95606" w:rsidRDefault="009B3D2F" w:rsidP="006655BF">
      <w:pPr>
        <w:rPr>
          <w:u w:val="single"/>
        </w:rPr>
      </w:pPr>
      <w:r w:rsidRPr="00B95606">
        <w:rPr>
          <w:u w:val="single"/>
        </w:rPr>
        <w:t xml:space="preserve">Catalog of David’s Military Activities </w:t>
      </w:r>
    </w:p>
    <w:p w14:paraId="28474F6D" w14:textId="2CC7621F" w:rsidR="009B3D2F" w:rsidRDefault="0080016D" w:rsidP="006655BF">
      <w:r>
        <w:t xml:space="preserve">The </w:t>
      </w:r>
      <w:r w:rsidRPr="006C6646">
        <w:rPr>
          <w:i/>
          <w:iCs/>
        </w:rPr>
        <w:t xml:space="preserve">ESV Study Bible </w:t>
      </w:r>
      <w:r>
        <w:t>has a helpful summary of David’s military activities</w:t>
      </w:r>
      <w:r w:rsidR="00664C97">
        <w:t>:</w:t>
      </w:r>
    </w:p>
    <w:p w14:paraId="7FFB70D8" w14:textId="2E8692EA" w:rsidR="00664C97" w:rsidRDefault="00664C97" w:rsidP="007A21B3">
      <w:pPr>
        <w:ind w:left="720"/>
      </w:pPr>
      <w:r>
        <w:t xml:space="preserve">Chapter 8 is a catalog of David’s military victories, from the old enemies, the </w:t>
      </w:r>
      <w:r w:rsidR="007A21B3">
        <w:t>Philistines</w:t>
      </w:r>
      <w:r>
        <w:t xml:space="preserve">, to the Transjordan nations of Moab and Ammon, through the Syrian countries, and all </w:t>
      </w:r>
      <w:r w:rsidR="007A21B3">
        <w:t xml:space="preserve">the </w:t>
      </w:r>
      <w:r w:rsidR="007A21B3">
        <w:lastRenderedPageBreak/>
        <w:t>way</w:t>
      </w:r>
      <w:r>
        <w:t xml:space="preserve"> t</w:t>
      </w:r>
      <w:r w:rsidR="007A21B3">
        <w:t xml:space="preserve">o “the River” (the Euphrates), ending with a statement about his administration. </w:t>
      </w:r>
      <w:r w:rsidR="000503A6">
        <w:t xml:space="preserve">The varied events of this chapter are not necessarily chronological with the rest of the book. The </w:t>
      </w:r>
      <w:r w:rsidR="00277B2D">
        <w:t>Ammon</w:t>
      </w:r>
      <w:r w:rsidR="000503A6">
        <w:t xml:space="preserve"> </w:t>
      </w:r>
      <w:r w:rsidR="00AF3F32">
        <w:t>War</w:t>
      </w:r>
      <w:r w:rsidR="000503A6">
        <w:t xml:space="preserve"> of chs. 10-12 may have been the prelude to</w:t>
      </w:r>
      <w:r w:rsidR="00277B2D">
        <w:t xml:space="preserve"> </w:t>
      </w:r>
      <w:r w:rsidR="000503A6">
        <w:t>David’s defeat</w:t>
      </w:r>
      <w:r w:rsidR="00376F27">
        <w:t xml:space="preserve"> of the</w:t>
      </w:r>
      <w:r w:rsidR="00277B2D">
        <w:t xml:space="preserve"> important </w:t>
      </w:r>
      <w:r w:rsidR="00376F27">
        <w:t>kingdom of Zobah in this chapter. Chapter 8 has ties with the title to Psalm 60:</w:t>
      </w:r>
      <w:r w:rsidR="001F02B4">
        <w:t xml:space="preserve"> “when he strove with Aram-naharim and with Aram-zobah [</w:t>
      </w:r>
      <w:r w:rsidR="00375BFD">
        <w:t xml:space="preserve">cf. 2 Sam 8:3], and when Joab on his return </w:t>
      </w:r>
      <w:r w:rsidR="00A72330">
        <w:t>struck down twelve thousand of Edom in the Valley of Salt [cf. v. 13].” The older empires in Egypt and Mesopotamia were at a low point, which allowed David to take advantage of the international situation.</w:t>
      </w:r>
      <w:r w:rsidR="00A72330">
        <w:rPr>
          <w:rStyle w:val="FootnoteReference"/>
        </w:rPr>
        <w:footnoteReference w:id="106"/>
      </w:r>
    </w:p>
    <w:p w14:paraId="47442D3C" w14:textId="3F05C28B" w:rsidR="004A078C" w:rsidRPr="006E22A3" w:rsidRDefault="00DC73E5" w:rsidP="006655BF">
      <w:pPr>
        <w:rPr>
          <w:u w:val="single"/>
        </w:rPr>
      </w:pPr>
      <w:r w:rsidRPr="006E22A3">
        <w:rPr>
          <w:u w:val="single"/>
        </w:rPr>
        <w:t>Me</w:t>
      </w:r>
      <w:r w:rsidR="00507D78" w:rsidRPr="006E22A3">
        <w:rPr>
          <w:u w:val="single"/>
        </w:rPr>
        <w:t xml:space="preserve">theg-ammah </w:t>
      </w:r>
    </w:p>
    <w:p w14:paraId="0DBE8361" w14:textId="53220A14" w:rsidR="004A078C" w:rsidRDefault="006F16D2" w:rsidP="006655BF">
      <w:r>
        <w:t xml:space="preserve">The exact meaning of Metheg-ammah is unclear. </w:t>
      </w:r>
      <w:r w:rsidR="00F84F40">
        <w:t xml:space="preserve">Anderson </w:t>
      </w:r>
      <w:r w:rsidR="007C40F2">
        <w:t>says that no</w:t>
      </w:r>
      <w:r w:rsidR="005C6F33">
        <w:t xml:space="preserve"> “location is attested even though it ought to have been sufficiently important to be singled out for mention in this passage</w:t>
      </w:r>
      <w:r w:rsidR="00601A52">
        <w:t>.”</w:t>
      </w:r>
      <w:r w:rsidR="00601A52">
        <w:rPr>
          <w:rStyle w:val="FootnoteReference"/>
        </w:rPr>
        <w:footnoteReference w:id="107"/>
      </w:r>
      <w:r w:rsidR="00044A06">
        <w:t xml:space="preserve"> </w:t>
      </w:r>
      <w:r w:rsidR="008F50E6">
        <w:t xml:space="preserve">Regardless, some translators </w:t>
      </w:r>
      <w:r w:rsidR="007A532A">
        <w:t>use the term as a formal name for a location</w:t>
      </w:r>
      <w:r w:rsidR="00A64E87">
        <w:t>.</w:t>
      </w:r>
      <w:r w:rsidR="007A532A">
        <w:t xml:space="preserve"> (i.e., the ESV,</w:t>
      </w:r>
      <w:r w:rsidR="000F0200">
        <w:t xml:space="preserve"> CSB, etc.)</w:t>
      </w:r>
      <w:r w:rsidR="007A532A">
        <w:t xml:space="preserve"> Others refer to Metheg-ammah as a figurative or metaphorical term referring to a chief city of the Philistines</w:t>
      </w:r>
      <w:r w:rsidR="00A64E87">
        <w:t>.</w:t>
      </w:r>
      <w:r w:rsidR="007A532A">
        <w:t xml:space="preserve"> (i.e.,</w:t>
      </w:r>
      <w:r w:rsidR="008F50E6">
        <w:t xml:space="preserve"> Gath) </w:t>
      </w:r>
      <w:r w:rsidR="000F0200">
        <w:rPr>
          <w:rStyle w:val="FootnoteReference"/>
        </w:rPr>
        <w:footnoteReference w:id="108"/>
      </w:r>
      <w:r w:rsidR="008F50E6">
        <w:t xml:space="preserve">The NASB renders Metheg-ammah this way, translating it </w:t>
      </w:r>
      <w:r w:rsidR="007A532A">
        <w:t xml:space="preserve">as </w:t>
      </w:r>
      <w:r w:rsidR="008F50E6">
        <w:t xml:space="preserve">“chief city.” </w:t>
      </w:r>
    </w:p>
    <w:p w14:paraId="2FB668D5" w14:textId="1A20771F" w:rsidR="004A078C" w:rsidRPr="00B67CA9" w:rsidRDefault="006E22A3" w:rsidP="006655BF">
      <w:pPr>
        <w:rPr>
          <w:u w:val="single"/>
        </w:rPr>
      </w:pPr>
      <w:r w:rsidRPr="00B67CA9">
        <w:rPr>
          <w:u w:val="single"/>
        </w:rPr>
        <w:t>Valley of Salt</w:t>
      </w:r>
    </w:p>
    <w:p w14:paraId="557FF294" w14:textId="23FA574E" w:rsidR="004A078C" w:rsidRDefault="00BB46E9" w:rsidP="006655BF">
      <w:r>
        <w:t xml:space="preserve">This valley was between </w:t>
      </w:r>
      <w:r w:rsidR="007E71EA">
        <w:t xml:space="preserve">Jerusalem and Edom, but the exact location remains unknown. </w:t>
      </w:r>
      <w:r w:rsidR="00233834">
        <w:t xml:space="preserve">At the Valley of Salt, </w:t>
      </w:r>
      <w:r w:rsidR="007E71EA">
        <w:t xml:space="preserve">David’s armies won </w:t>
      </w:r>
      <w:r w:rsidR="004C4C36">
        <w:t xml:space="preserve">great victories over the Edomites (2 Sam. 8:13), as </w:t>
      </w:r>
      <w:r w:rsidR="00233834">
        <w:t>did Ama</w:t>
      </w:r>
      <w:r w:rsidR="009869A4">
        <w:t>ziah, king of Judah</w:t>
      </w:r>
      <w:r w:rsidR="003C353C">
        <w:t>.</w:t>
      </w:r>
      <w:r w:rsidR="009869A4">
        <w:t xml:space="preserve"> (2 K</w:t>
      </w:r>
      <w:r w:rsidR="00A64E87">
        <w:t>ings</w:t>
      </w:r>
      <w:r w:rsidR="009869A4">
        <w:t xml:space="preserve"> 14:7; 2 Chro</w:t>
      </w:r>
      <w:r w:rsidR="00A64E87">
        <w:t>n</w:t>
      </w:r>
      <w:r w:rsidR="009869A4">
        <w:t>. 25:11)</w:t>
      </w:r>
      <w:r w:rsidR="009869A4">
        <w:rPr>
          <w:rStyle w:val="FootnoteReference"/>
        </w:rPr>
        <w:footnoteReference w:id="109"/>
      </w:r>
    </w:p>
    <w:p w14:paraId="521195EF" w14:textId="659CC07F" w:rsidR="004A078C" w:rsidRPr="005A24CE" w:rsidRDefault="00E60705" w:rsidP="006655BF">
      <w:pPr>
        <w:rPr>
          <w:i/>
          <w:iCs/>
        </w:rPr>
      </w:pPr>
      <w:r w:rsidRPr="005A24CE">
        <w:rPr>
          <w:i/>
          <w:iCs/>
        </w:rPr>
        <w:t>2 Sam</w:t>
      </w:r>
      <w:r w:rsidR="006E2009">
        <w:rPr>
          <w:i/>
          <w:iCs/>
        </w:rPr>
        <w:t>.</w:t>
      </w:r>
      <w:r w:rsidRPr="005A24CE">
        <w:rPr>
          <w:i/>
          <w:iCs/>
        </w:rPr>
        <w:t xml:space="preserve"> 9</w:t>
      </w:r>
    </w:p>
    <w:p w14:paraId="6798E646" w14:textId="77777777" w:rsidR="00803547" w:rsidRDefault="00803547" w:rsidP="00803547">
      <w:pPr>
        <w:rPr>
          <w:u w:val="single"/>
        </w:rPr>
      </w:pPr>
      <w:r w:rsidRPr="009D45C6">
        <w:rPr>
          <w:u w:val="single"/>
        </w:rPr>
        <w:t xml:space="preserve">Mephibosheth </w:t>
      </w:r>
    </w:p>
    <w:p w14:paraId="52DC5325" w14:textId="7E42A6FC" w:rsidR="00803547" w:rsidRPr="001C74A5" w:rsidRDefault="00803547" w:rsidP="00803547">
      <w:pPr>
        <w:rPr>
          <w:u w:val="single"/>
        </w:rPr>
      </w:pPr>
      <w:r>
        <w:t xml:space="preserve">See </w:t>
      </w:r>
      <w:r w:rsidR="001C74A5" w:rsidRPr="009D45C6">
        <w:rPr>
          <w:u w:val="single"/>
        </w:rPr>
        <w:t>Mephibosheth</w:t>
      </w:r>
      <w:r w:rsidR="001C74A5" w:rsidRPr="001C74A5">
        <w:t xml:space="preserve"> </w:t>
      </w:r>
      <w:r>
        <w:t>under 2 Sam</w:t>
      </w:r>
      <w:r w:rsidR="003923FE">
        <w:t>.</w:t>
      </w:r>
      <w:r>
        <w:t xml:space="preserve"> 4.</w:t>
      </w:r>
    </w:p>
    <w:p w14:paraId="696E8C34" w14:textId="4991B5D5" w:rsidR="00803547" w:rsidRPr="005A24CE" w:rsidRDefault="00FC3B9D" w:rsidP="00803547">
      <w:pPr>
        <w:rPr>
          <w:i/>
          <w:iCs/>
        </w:rPr>
      </w:pPr>
      <w:r w:rsidRPr="005A24CE">
        <w:rPr>
          <w:i/>
          <w:iCs/>
        </w:rPr>
        <w:t>2 Sam</w:t>
      </w:r>
      <w:r w:rsidR="006E2009">
        <w:rPr>
          <w:i/>
          <w:iCs/>
        </w:rPr>
        <w:t>.</w:t>
      </w:r>
      <w:r w:rsidRPr="005A24CE">
        <w:rPr>
          <w:i/>
          <w:iCs/>
        </w:rPr>
        <w:t xml:space="preserve"> </w:t>
      </w:r>
      <w:r w:rsidR="00900E08" w:rsidRPr="005A24CE">
        <w:rPr>
          <w:i/>
          <w:iCs/>
        </w:rPr>
        <w:t>10</w:t>
      </w:r>
    </w:p>
    <w:p w14:paraId="1B8010BE" w14:textId="77777777" w:rsidR="005612A5" w:rsidRDefault="005612A5" w:rsidP="00803547">
      <w:pPr>
        <w:rPr>
          <w:u w:val="single"/>
        </w:rPr>
      </w:pPr>
      <w:r>
        <w:rPr>
          <w:u w:val="single"/>
        </w:rPr>
        <w:t>Ammon</w:t>
      </w:r>
    </w:p>
    <w:p w14:paraId="62E03614" w14:textId="4AFB801E" w:rsidR="00BA44A9" w:rsidRPr="000B38D2" w:rsidRDefault="001F7939" w:rsidP="00803547">
      <w:r w:rsidRPr="000B38D2">
        <w:t xml:space="preserve">The Israelites had a long, tumultuous history with Ammon, a </w:t>
      </w:r>
      <w:r w:rsidR="00273D0D">
        <w:t>Semitic</w:t>
      </w:r>
      <w:r w:rsidRPr="000B38D2">
        <w:t xml:space="preserve"> kingdom located </w:t>
      </w:r>
      <w:r w:rsidR="003923FE">
        <w:t>east</w:t>
      </w:r>
      <w:r w:rsidRPr="000B38D2">
        <w:t xml:space="preserve"> of the Jordan River. </w:t>
      </w:r>
      <w:r w:rsidR="000C3824" w:rsidRPr="000B38D2">
        <w:t>From the time of Moses (Deut. 23:3), Israel was in conflict with</w:t>
      </w:r>
      <w:r w:rsidR="000B38D2">
        <w:t xml:space="preserve"> </w:t>
      </w:r>
      <w:r w:rsidR="0019341D">
        <w:t>Ammon</w:t>
      </w:r>
      <w:r w:rsidR="000C3824" w:rsidRPr="000B38D2">
        <w:t xml:space="preserve">. </w:t>
      </w:r>
      <w:r w:rsidR="0019341D" w:rsidRPr="000B38D2">
        <w:t>Jephthah</w:t>
      </w:r>
      <w:r w:rsidR="000C3824" w:rsidRPr="000B38D2">
        <w:t xml:space="preserve"> (Jud</w:t>
      </w:r>
      <w:r w:rsidR="003923FE">
        <w:t>g</w:t>
      </w:r>
      <w:r w:rsidR="000C3824" w:rsidRPr="000B38D2">
        <w:t xml:space="preserve">. 11:4-33), Saul (1 Sam. 11:6-11), and David </w:t>
      </w:r>
      <w:r w:rsidR="000B38D2" w:rsidRPr="000B38D2">
        <w:t>(2 Sam. 10:1-12:31)</w:t>
      </w:r>
      <w:r w:rsidR="0019341D">
        <w:t xml:space="preserve"> all led military campaigns against the Ammonites. </w:t>
      </w:r>
      <w:r w:rsidR="00993FD4">
        <w:t>The modern city of Amm</w:t>
      </w:r>
      <w:r w:rsidR="00AB348E">
        <w:t>a</w:t>
      </w:r>
      <w:r w:rsidR="00993FD4">
        <w:t xml:space="preserve">n is located </w:t>
      </w:r>
      <w:r w:rsidR="00D32831">
        <w:t>on top</w:t>
      </w:r>
      <w:r w:rsidR="00993FD4">
        <w:t xml:space="preserve"> of </w:t>
      </w:r>
      <w:r w:rsidR="005F6913">
        <w:t xml:space="preserve">Rabbah, </w:t>
      </w:r>
      <w:r w:rsidR="00993FD4">
        <w:t xml:space="preserve">the </w:t>
      </w:r>
      <w:r w:rsidR="00993FD4">
        <w:lastRenderedPageBreak/>
        <w:t>ancient capital of Ammon.</w:t>
      </w:r>
      <w:r w:rsidR="00993FD4">
        <w:rPr>
          <w:rStyle w:val="FootnoteReference"/>
        </w:rPr>
        <w:footnoteReference w:id="110"/>
      </w:r>
      <w:r w:rsidR="006E78E3">
        <w:t xml:space="preserve"> For information related to the Ammonites, see </w:t>
      </w:r>
      <w:r w:rsidR="00E87A9B" w:rsidRPr="00AE5BFB">
        <w:rPr>
          <w:u w:val="single"/>
        </w:rPr>
        <w:t>Ammonites</w:t>
      </w:r>
      <w:r w:rsidR="00E87A9B">
        <w:t xml:space="preserve"> under 1 Sam. </w:t>
      </w:r>
      <w:r w:rsidR="00AE5BFB">
        <w:t>11.</w:t>
      </w:r>
    </w:p>
    <w:p w14:paraId="0C68220D" w14:textId="3EF54837" w:rsidR="000A59E7" w:rsidRDefault="002C1EDD" w:rsidP="00803547">
      <w:pPr>
        <w:rPr>
          <w:u w:val="single"/>
        </w:rPr>
      </w:pPr>
      <w:r>
        <w:rPr>
          <w:u w:val="single"/>
        </w:rPr>
        <w:t>War with Ammon</w:t>
      </w:r>
    </w:p>
    <w:p w14:paraId="50A53914" w14:textId="7B68276F" w:rsidR="002C1EDD" w:rsidRPr="002C1EDD" w:rsidRDefault="00DF7EFB" w:rsidP="00803547">
      <w:r>
        <w:t>The war between Israel and Ammon serve</w:t>
      </w:r>
      <w:r w:rsidR="00613348">
        <w:t>d</w:t>
      </w:r>
      <w:r>
        <w:t xml:space="preserve"> as the backdrop </w:t>
      </w:r>
      <w:r w:rsidR="00613348">
        <w:t>for</w:t>
      </w:r>
      <w:r>
        <w:t xml:space="preserve"> </w:t>
      </w:r>
      <w:r w:rsidR="002C1EDD" w:rsidRPr="002C1EDD">
        <w:t>2 Samuel 10:1-12:31</w:t>
      </w:r>
      <w:r w:rsidR="004F616C">
        <w:t xml:space="preserve">. </w:t>
      </w:r>
      <w:r w:rsidR="00011586">
        <w:t xml:space="preserve">The </w:t>
      </w:r>
      <w:r w:rsidR="00273D0D">
        <w:t>Ammonites'</w:t>
      </w:r>
      <w:r w:rsidR="00011586">
        <w:t xml:space="preserve"> disgrace of David’s ambassadors</w:t>
      </w:r>
      <w:r w:rsidR="00D2748A">
        <w:t xml:space="preserve"> began the war between the two kingdoms. </w:t>
      </w:r>
      <w:r w:rsidR="00613348">
        <w:t>Second</w:t>
      </w:r>
      <w:r w:rsidR="001C1D28">
        <w:t xml:space="preserve"> Samuel </w:t>
      </w:r>
      <w:r w:rsidR="005E03B9">
        <w:t>12:26-31 detail</w:t>
      </w:r>
      <w:r w:rsidR="00613348">
        <w:t>ed</w:t>
      </w:r>
      <w:r w:rsidR="005E03B9">
        <w:t xml:space="preserve"> the ending of the conflict. The Israelites </w:t>
      </w:r>
      <w:r w:rsidR="006737E8">
        <w:t>gained</w:t>
      </w:r>
      <w:r w:rsidR="005E03B9">
        <w:t xml:space="preserve"> </w:t>
      </w:r>
      <w:r w:rsidR="00331934">
        <w:t>control of</w:t>
      </w:r>
      <w:r w:rsidR="005E03B9">
        <w:t xml:space="preserve"> </w:t>
      </w:r>
      <w:r w:rsidR="003E0BE0">
        <w:t xml:space="preserve">the </w:t>
      </w:r>
      <w:r w:rsidR="001D7C88">
        <w:t xml:space="preserve">section of the city of Rabbah where the water supply was kept. Soon after Israel gained control of the water, the city surrendered. </w:t>
      </w:r>
      <w:r w:rsidR="00313872">
        <w:t>Joab called David to come to the front so that he could get credit for the capture.</w:t>
      </w:r>
      <w:r w:rsidR="00313872">
        <w:rPr>
          <w:rStyle w:val="FootnoteReference"/>
        </w:rPr>
        <w:footnoteReference w:id="111"/>
      </w:r>
      <w:r w:rsidR="00C9651B">
        <w:t xml:space="preserve"> </w:t>
      </w:r>
    </w:p>
    <w:p w14:paraId="7870F5BB" w14:textId="0702B7A3" w:rsidR="002C1EDD" w:rsidRDefault="00773501" w:rsidP="00803547">
      <w:pPr>
        <w:rPr>
          <w:u w:val="single"/>
        </w:rPr>
      </w:pPr>
      <w:r>
        <w:rPr>
          <w:u w:val="single"/>
        </w:rPr>
        <w:t>Syrians</w:t>
      </w:r>
    </w:p>
    <w:p w14:paraId="49BE886C" w14:textId="0D97E343" w:rsidR="00CF1AED" w:rsidRPr="00CF1AED" w:rsidRDefault="00613348" w:rsidP="00803547">
      <w:r>
        <w:t xml:space="preserve">Second </w:t>
      </w:r>
      <w:r w:rsidR="00CF1AED">
        <w:t xml:space="preserve">Samuel 10:6 </w:t>
      </w:r>
      <w:r w:rsidR="00461809">
        <w:t>says that the Ammonites hired Syrian troops from</w:t>
      </w:r>
      <w:r w:rsidR="00A70664">
        <w:t xml:space="preserve"> Syrian kingdoms in the northern Transjordan and </w:t>
      </w:r>
      <w:r w:rsidR="00A1325F">
        <w:t>Lebanon</w:t>
      </w:r>
      <w:r w:rsidR="00A70664">
        <w:t xml:space="preserve"> Valley. </w:t>
      </w:r>
      <w:r w:rsidR="00A1325F">
        <w:t xml:space="preserve">The practice of hiring </w:t>
      </w:r>
      <w:r w:rsidR="00C6111E">
        <w:t>soldiers</w:t>
      </w:r>
      <w:r w:rsidR="00774407">
        <w:t xml:space="preserve"> was common in this period. </w:t>
      </w:r>
      <w:r w:rsidR="00DA3FCD">
        <w:t xml:space="preserve">Scholars debate whether the Syrians were contracted as </w:t>
      </w:r>
      <w:r w:rsidR="003734B3">
        <w:t>mercenaries</w:t>
      </w:r>
      <w:r w:rsidR="00DA3FCD">
        <w:t xml:space="preserve"> or whether they were bribed </w:t>
      </w:r>
      <w:r w:rsidR="003734B3">
        <w:t>into helping the Ammonites.</w:t>
      </w:r>
      <w:r w:rsidR="003B3549">
        <w:rPr>
          <w:rStyle w:val="FootnoteReference"/>
        </w:rPr>
        <w:footnoteReference w:id="112"/>
      </w:r>
      <w:r w:rsidR="003734B3">
        <w:t xml:space="preserve"> </w:t>
      </w:r>
    </w:p>
    <w:p w14:paraId="796BA951" w14:textId="75F98338" w:rsidR="00FC3B9D" w:rsidRPr="005A24CE" w:rsidRDefault="00C6111E" w:rsidP="00803547">
      <w:pPr>
        <w:rPr>
          <w:i/>
          <w:iCs/>
        </w:rPr>
      </w:pPr>
      <w:r w:rsidRPr="005A24CE">
        <w:rPr>
          <w:i/>
          <w:iCs/>
        </w:rPr>
        <w:t>2 Sam</w:t>
      </w:r>
      <w:r w:rsidR="006E2009">
        <w:rPr>
          <w:i/>
          <w:iCs/>
        </w:rPr>
        <w:t>.</w:t>
      </w:r>
      <w:r w:rsidRPr="005A24CE">
        <w:rPr>
          <w:i/>
          <w:iCs/>
        </w:rPr>
        <w:t xml:space="preserve"> 11</w:t>
      </w:r>
    </w:p>
    <w:p w14:paraId="79EC58F5" w14:textId="3A4B445B" w:rsidR="00C6111E" w:rsidRDefault="00713AD9" w:rsidP="00803547">
      <w:pPr>
        <w:rPr>
          <w:u w:val="single"/>
        </w:rPr>
      </w:pPr>
      <w:r>
        <w:rPr>
          <w:u w:val="single"/>
        </w:rPr>
        <w:t>When kings go out to battle</w:t>
      </w:r>
    </w:p>
    <w:p w14:paraId="71E2177C" w14:textId="5B4F01FD" w:rsidR="00713AD9" w:rsidRDefault="00F65227" w:rsidP="00803547">
      <w:r>
        <w:t>Second</w:t>
      </w:r>
      <w:r w:rsidR="0082720C">
        <w:t xml:space="preserve"> Samuel 11:1-2</w:t>
      </w:r>
      <w:r w:rsidR="009E3B79">
        <w:t xml:space="preserve"> clearly states that while “all Israel” went out to battle, </w:t>
      </w:r>
      <w:r w:rsidR="009F3938">
        <w:t>King David</w:t>
      </w:r>
      <w:r w:rsidR="00283D14">
        <w:t xml:space="preserve"> “remained at Jerusalem.” Some take the phrasing of these verses to mean</w:t>
      </w:r>
      <w:r w:rsidR="00044C67">
        <w:t xml:space="preserve"> that “something is wrong</w:t>
      </w:r>
      <w:r w:rsidR="00F821A7">
        <w:t>: the kings go</w:t>
      </w:r>
      <w:r w:rsidR="009F3938">
        <w:t xml:space="preserve"> o</w:t>
      </w:r>
      <w:r w:rsidR="00F821A7">
        <w:t xml:space="preserve">ut to battle, but this king does not. …Readers can see </w:t>
      </w:r>
      <w:r w:rsidR="00871344">
        <w:t>a contrast between the king</w:t>
      </w:r>
      <w:r w:rsidR="00457DB0">
        <w:t>, who is at leisure (11:2)</w:t>
      </w:r>
      <w:r w:rsidR="00044BF8">
        <w:t>,</w:t>
      </w:r>
      <w:r w:rsidR="00457DB0">
        <w:t xml:space="preserve"> and the soldiers on the field</w:t>
      </w:r>
      <w:r w:rsidR="00871344">
        <w:t xml:space="preserve"> (v. 11).</w:t>
      </w:r>
      <w:r>
        <w:t>”</w:t>
      </w:r>
      <w:r w:rsidR="00871344">
        <w:rPr>
          <w:rStyle w:val="FootnoteReference"/>
        </w:rPr>
        <w:footnoteReference w:id="113"/>
      </w:r>
    </w:p>
    <w:p w14:paraId="5E6F3685" w14:textId="39FDFB71" w:rsidR="003F5BB1" w:rsidRPr="003F5BB1" w:rsidRDefault="004B09BE" w:rsidP="006655BF">
      <w:r>
        <w:t xml:space="preserve">Others, such as Bergen, argue that David’s absence “should not be understood as dereliction of duty.” </w:t>
      </w:r>
      <w:r w:rsidR="00821D27">
        <w:t xml:space="preserve">He continues, “David had previously remained in Jerusalem when the </w:t>
      </w:r>
      <w:r w:rsidR="00044BF8">
        <w:t>Ammonites</w:t>
      </w:r>
      <w:r w:rsidR="00821D27">
        <w:t xml:space="preserve"> were attacked (cf. 10:7). Furthermore, </w:t>
      </w:r>
      <w:r w:rsidR="00044BF8">
        <w:t>… David’s men had pleaded with him to avoid an active role in military campaigns (cf. 21:17) out of concern for the king’s safety and the best interests of the nation.”</w:t>
      </w:r>
      <w:r w:rsidR="00044BF8">
        <w:rPr>
          <w:rStyle w:val="FootnoteReference"/>
        </w:rPr>
        <w:footnoteReference w:id="114"/>
      </w:r>
      <w:r w:rsidR="001C74A5">
        <w:br w:type="page"/>
      </w:r>
    </w:p>
    <w:p w14:paraId="2C517160" w14:textId="19BB917B" w:rsidR="00E60705" w:rsidRPr="005A24CE" w:rsidRDefault="00E43BB3" w:rsidP="006655BF">
      <w:pPr>
        <w:rPr>
          <w:u w:val="single"/>
        </w:rPr>
      </w:pPr>
      <w:r w:rsidRPr="005A24CE">
        <w:rPr>
          <w:u w:val="single"/>
        </w:rPr>
        <w:lastRenderedPageBreak/>
        <w:t>Bathsheba</w:t>
      </w:r>
    </w:p>
    <w:p w14:paraId="7EC4BED0" w14:textId="65BDBED7" w:rsidR="000A4B69" w:rsidRDefault="00E43BB3" w:rsidP="006655BF">
      <w:r>
        <w:t>Bathsheba</w:t>
      </w:r>
      <w:r w:rsidR="008F1E09">
        <w:t xml:space="preserve"> was the daughter of El</w:t>
      </w:r>
      <w:r w:rsidR="00253EA6">
        <w:t>iam, one of David’s best fighters (23:34)</w:t>
      </w:r>
      <w:r w:rsidR="007818E9">
        <w:t xml:space="preserve">, the </w:t>
      </w:r>
      <w:r>
        <w:t>granddaughter</w:t>
      </w:r>
      <w:r w:rsidR="007818E9">
        <w:t xml:space="preserve"> </w:t>
      </w:r>
      <w:r w:rsidR="00B420A4">
        <w:t xml:space="preserve">of </w:t>
      </w:r>
      <w:r>
        <w:t xml:space="preserve">Ahithophel, one </w:t>
      </w:r>
      <w:r w:rsidR="00773CAC">
        <w:t xml:space="preserve">of </w:t>
      </w:r>
      <w:r w:rsidR="00B420A4">
        <w:t xml:space="preserve">his most trusted </w:t>
      </w:r>
      <w:r w:rsidR="00793547">
        <w:t>advisors</w:t>
      </w:r>
      <w:r w:rsidR="00773CAC">
        <w:t xml:space="preserve"> (16:23; 23:34), and the wife of Uriah, one of his honored soldiers</w:t>
      </w:r>
      <w:r w:rsidR="2B8B6A6B">
        <w:t>.</w:t>
      </w:r>
      <w:r w:rsidR="00773CAC">
        <w:t xml:space="preserve"> (</w:t>
      </w:r>
      <w:r w:rsidR="00443147">
        <w:t>23:39)</w:t>
      </w:r>
      <w:r w:rsidR="00443147">
        <w:rPr>
          <w:rStyle w:val="FootnoteReference"/>
        </w:rPr>
        <w:footnoteReference w:id="115"/>
      </w:r>
    </w:p>
    <w:p w14:paraId="4A29F294" w14:textId="7E972925" w:rsidR="004A078C" w:rsidRDefault="005504FB" w:rsidP="006655BF">
      <w:r>
        <w:t>S</w:t>
      </w:r>
      <w:r w:rsidR="00BB12AE">
        <w:t xml:space="preserve">cholarship is divided on many issues related to David’s affair with Bathsheba. For example, </w:t>
      </w:r>
      <w:r w:rsidR="00D75C39">
        <w:t xml:space="preserve">some argue that 2 Samuel 11:4 alludes to Bathsheba </w:t>
      </w:r>
      <w:r w:rsidR="000241F5">
        <w:t>purifying herself after her menstrual period</w:t>
      </w:r>
      <w:r w:rsidR="00A16427">
        <w:t>,</w:t>
      </w:r>
      <w:r w:rsidR="000241F5">
        <w:rPr>
          <w:rStyle w:val="FootnoteReference"/>
        </w:rPr>
        <w:footnoteReference w:id="116"/>
      </w:r>
      <w:r w:rsidR="006A7093">
        <w:t xml:space="preserve"> </w:t>
      </w:r>
      <w:r w:rsidR="000241F5">
        <w:t xml:space="preserve">while others contend that </w:t>
      </w:r>
      <w:r w:rsidR="00BA0868">
        <w:t>v. 4 “</w:t>
      </w:r>
      <w:r w:rsidR="006A7093">
        <w:t>intended</w:t>
      </w:r>
      <w:r w:rsidR="00BA0868">
        <w:t xml:space="preserve"> to str</w:t>
      </w:r>
      <w:r w:rsidR="006A7093">
        <w:t>e</w:t>
      </w:r>
      <w:r w:rsidR="00BA0868">
        <w:t xml:space="preserve">ss that it was a favorable time for </w:t>
      </w:r>
      <w:r w:rsidR="006A7093">
        <w:t>conception, and especially that Uriah could not have been the father of the child that was eventually born.”</w:t>
      </w:r>
      <w:r w:rsidR="006A7093">
        <w:rPr>
          <w:rStyle w:val="FootnoteReference"/>
        </w:rPr>
        <w:footnoteReference w:id="117"/>
      </w:r>
    </w:p>
    <w:p w14:paraId="69194925" w14:textId="79ED3BA4" w:rsidR="004A078C" w:rsidRDefault="00D863DF" w:rsidP="006655BF">
      <w:r>
        <w:t xml:space="preserve">Keil and Delitzch find </w:t>
      </w:r>
      <w:r w:rsidR="00F132C1">
        <w:t>Bathsheba</w:t>
      </w:r>
      <w:r>
        <w:t xml:space="preserve"> at fault for the </w:t>
      </w:r>
      <w:r w:rsidR="00F132C1">
        <w:t>affair</w:t>
      </w:r>
      <w:r w:rsidR="00A16427">
        <w:t>,</w:t>
      </w:r>
      <w:r w:rsidR="00C158CE">
        <w:rPr>
          <w:rStyle w:val="FootnoteReference"/>
        </w:rPr>
        <w:footnoteReference w:id="118"/>
      </w:r>
      <w:r>
        <w:t xml:space="preserve"> while Bergen </w:t>
      </w:r>
      <w:r w:rsidR="00F8495F">
        <w:t>stresses that</w:t>
      </w:r>
      <w:r w:rsidR="00907BCC">
        <w:t xml:space="preserve"> though “the text </w:t>
      </w:r>
      <w:r w:rsidR="00A839A2">
        <w:t>merely</w:t>
      </w:r>
      <w:r w:rsidR="00907BCC">
        <w:t xml:space="preserve"> omits any mention </w:t>
      </w:r>
      <w:r w:rsidR="00A839A2">
        <w:t>of</w:t>
      </w:r>
      <w:r w:rsidR="00907BCC">
        <w:t xml:space="preserve"> hesitation and resistance</w:t>
      </w:r>
      <w:r w:rsidR="000A7FF9">
        <w:t>,</w:t>
      </w:r>
      <w:r w:rsidR="008F14AF">
        <w:t>”</w:t>
      </w:r>
      <w:r w:rsidR="00907BCC">
        <w:t xml:space="preserve"> it does not affirm th</w:t>
      </w:r>
      <w:r w:rsidR="006F5628">
        <w:t>e</w:t>
      </w:r>
      <w:r w:rsidR="00907BCC">
        <w:t xml:space="preserve"> </w:t>
      </w:r>
      <w:r w:rsidR="006F5628">
        <w:t>p</w:t>
      </w:r>
      <w:r w:rsidR="00907BCC">
        <w:t>osition of Keil and Delit</w:t>
      </w:r>
      <w:r w:rsidR="00A839A2">
        <w:t>zch.</w:t>
      </w:r>
      <w:r w:rsidR="00A839A2">
        <w:rPr>
          <w:rStyle w:val="FootnoteReference"/>
        </w:rPr>
        <w:footnoteReference w:id="119"/>
      </w:r>
      <w:r w:rsidR="0068030C">
        <w:t xml:space="preserve"> Arnold </w:t>
      </w:r>
      <w:r w:rsidR="009C56DC">
        <w:t xml:space="preserve">posits that </w:t>
      </w:r>
      <w:r w:rsidR="00787928">
        <w:t>“it is impossible</w:t>
      </w:r>
      <w:r w:rsidR="002A7BF9">
        <w:t xml:space="preserve"> for us to speculate about her motive</w:t>
      </w:r>
      <w:r w:rsidR="00BC729F">
        <w:t xml:space="preserve">s.” </w:t>
      </w:r>
      <w:r w:rsidR="00DC771C">
        <w:t>Furthermore</w:t>
      </w:r>
      <w:r w:rsidR="00BC729F">
        <w:t>, the writer</w:t>
      </w:r>
      <w:r w:rsidR="00DC771C">
        <w:t xml:space="preserve"> “carefully and deliberately” places the blame </w:t>
      </w:r>
      <w:r w:rsidR="00693099">
        <w:t>“</w:t>
      </w:r>
      <w:r w:rsidR="00DC771C">
        <w:t>on</w:t>
      </w:r>
      <w:r w:rsidR="00693099">
        <w:t>ly on</w:t>
      </w:r>
      <w:r w:rsidR="00DC771C">
        <w:t xml:space="preserve"> David.</w:t>
      </w:r>
      <w:r w:rsidR="00693099">
        <w:t>”</w:t>
      </w:r>
      <w:r w:rsidR="00DC771C">
        <w:rPr>
          <w:rStyle w:val="FootnoteReference"/>
        </w:rPr>
        <w:footnoteReference w:id="120"/>
      </w:r>
    </w:p>
    <w:p w14:paraId="54E7E248" w14:textId="002BE931" w:rsidR="004A078C" w:rsidRPr="005A24CE" w:rsidRDefault="005C60EF" w:rsidP="006655BF">
      <w:pPr>
        <w:rPr>
          <w:i/>
          <w:iCs/>
        </w:rPr>
      </w:pPr>
      <w:r w:rsidRPr="005A24CE">
        <w:rPr>
          <w:i/>
          <w:iCs/>
        </w:rPr>
        <w:t>2 Sam</w:t>
      </w:r>
      <w:r w:rsidR="006E2009">
        <w:rPr>
          <w:i/>
          <w:iCs/>
        </w:rPr>
        <w:t>.</w:t>
      </w:r>
      <w:r w:rsidRPr="005A24CE">
        <w:rPr>
          <w:i/>
          <w:iCs/>
        </w:rPr>
        <w:t xml:space="preserve"> 1</w:t>
      </w:r>
      <w:r w:rsidR="00D02067" w:rsidRPr="005A24CE">
        <w:rPr>
          <w:i/>
          <w:iCs/>
        </w:rPr>
        <w:t>2</w:t>
      </w:r>
    </w:p>
    <w:p w14:paraId="351CD75A" w14:textId="10A07CFE" w:rsidR="005C60EF" w:rsidRPr="008244A5" w:rsidRDefault="009C74E8" w:rsidP="006655BF">
      <w:pPr>
        <w:rPr>
          <w:u w:val="single"/>
        </w:rPr>
      </w:pPr>
      <w:r w:rsidRPr="008244A5">
        <w:rPr>
          <w:u w:val="single"/>
        </w:rPr>
        <w:t>Nathan</w:t>
      </w:r>
    </w:p>
    <w:p w14:paraId="1A88912E" w14:textId="4E214F97" w:rsidR="008244A5" w:rsidRDefault="008244A5" w:rsidP="006655BF">
      <w:r>
        <w:t xml:space="preserve">See </w:t>
      </w:r>
      <w:r w:rsidR="001C74A5" w:rsidRPr="001C74A5">
        <w:rPr>
          <w:u w:val="single"/>
        </w:rPr>
        <w:t>Nathan</w:t>
      </w:r>
      <w:r>
        <w:t xml:space="preserve"> under 2 Sam</w:t>
      </w:r>
      <w:r w:rsidR="00A53BC9">
        <w:t>.</w:t>
      </w:r>
      <w:r>
        <w:t xml:space="preserve"> 7. </w:t>
      </w:r>
    </w:p>
    <w:p w14:paraId="1275F1CC" w14:textId="0EFE0C2A" w:rsidR="009C74E8" w:rsidRPr="008244A5" w:rsidRDefault="008244A5" w:rsidP="006655BF">
      <w:pPr>
        <w:rPr>
          <w:u w:val="single"/>
        </w:rPr>
      </w:pPr>
      <w:r w:rsidRPr="008244A5">
        <w:rPr>
          <w:u w:val="single"/>
        </w:rPr>
        <w:t>Solomon</w:t>
      </w:r>
    </w:p>
    <w:p w14:paraId="092E05F5" w14:textId="3B4F1F23" w:rsidR="008244A5" w:rsidRDefault="004F38A2" w:rsidP="006655BF">
      <w:r>
        <w:t>First</w:t>
      </w:r>
      <w:r w:rsidR="00724C15">
        <w:t xml:space="preserve"> Kings 1-11 and 1 Chr</w:t>
      </w:r>
      <w:r w:rsidR="00BB0EF9">
        <w:t>onicles 28</w:t>
      </w:r>
      <w:r w:rsidR="00A53BC9">
        <w:t xml:space="preserve"> through </w:t>
      </w:r>
      <w:r w:rsidR="00BB0EF9">
        <w:t xml:space="preserve">2 Chronicles 9 contain most of the narrative surrounding Solomon’s life. </w:t>
      </w:r>
      <w:r w:rsidR="00034FD3">
        <w:t>He ruled from approximately 962-922 B</w:t>
      </w:r>
      <w:r w:rsidR="005701C4">
        <w:t>.</w:t>
      </w:r>
      <w:r w:rsidR="00034FD3">
        <w:t>C.</w:t>
      </w:r>
      <w:r w:rsidR="00BB4BC8">
        <w:rPr>
          <w:rStyle w:val="FootnoteReference"/>
        </w:rPr>
        <w:footnoteReference w:id="121"/>
      </w:r>
      <w:r w:rsidR="0025026A">
        <w:t xml:space="preserve"> </w:t>
      </w:r>
      <w:r w:rsidR="00DB45AE">
        <w:t xml:space="preserve">Second Samuel 12 details Solomon’s birth. Bathsheba named him Solomon, which has historically been </w:t>
      </w:r>
      <w:r w:rsidR="00A00553">
        <w:t xml:space="preserve">associated with peace (Shalom). </w:t>
      </w:r>
      <w:r w:rsidR="00194E25">
        <w:t xml:space="preserve">Recently, </w:t>
      </w:r>
      <w:r w:rsidR="000A614C">
        <w:t>“</w:t>
      </w:r>
      <w:r w:rsidR="009735DF">
        <w:t>I</w:t>
      </w:r>
      <w:r w:rsidR="000A614C">
        <w:t xml:space="preserve">t has been taken as </w:t>
      </w:r>
      <w:r w:rsidR="009735DF">
        <w:t>a replacement name, meaning, ‘his replacement’ and referring either to the first child who had died or less likely, to Uriah, Bathsheba’s husband.”</w:t>
      </w:r>
      <w:r w:rsidR="009735DF">
        <w:rPr>
          <w:rStyle w:val="FootnoteReference"/>
        </w:rPr>
        <w:footnoteReference w:id="122"/>
      </w:r>
      <w:r w:rsidR="009735DF">
        <w:t xml:space="preserve"> </w:t>
      </w:r>
      <w:r w:rsidR="00601131">
        <w:t xml:space="preserve">Solom </w:t>
      </w:r>
      <w:r w:rsidR="007621F7">
        <w:t>wa</w:t>
      </w:r>
      <w:r w:rsidR="00601131">
        <w:t xml:space="preserve">s also referred to as “Jedidiah,” meaning “beloved of </w:t>
      </w:r>
      <w:r w:rsidR="00601131">
        <w:lastRenderedPageBreak/>
        <w:t xml:space="preserve">Yahweh.” </w:t>
      </w:r>
      <w:r w:rsidR="002A33EA">
        <w:t>It was not uncommon for some people, especially kings, to have more than one name.</w:t>
      </w:r>
      <w:r w:rsidR="002A33EA">
        <w:rPr>
          <w:rStyle w:val="FootnoteReference"/>
        </w:rPr>
        <w:footnoteReference w:id="123"/>
      </w:r>
    </w:p>
    <w:p w14:paraId="19CD5FF1" w14:textId="2F9DBB5E" w:rsidR="002F536D" w:rsidRPr="005A24CE" w:rsidRDefault="002F536D" w:rsidP="006655BF">
      <w:pPr>
        <w:rPr>
          <w:i/>
          <w:iCs/>
        </w:rPr>
      </w:pPr>
      <w:r w:rsidRPr="005A24CE">
        <w:rPr>
          <w:i/>
          <w:iCs/>
        </w:rPr>
        <w:t>2 Sam</w:t>
      </w:r>
      <w:r w:rsidR="006E2009">
        <w:rPr>
          <w:i/>
          <w:iCs/>
        </w:rPr>
        <w:t>.</w:t>
      </w:r>
      <w:r w:rsidRPr="005A24CE">
        <w:rPr>
          <w:i/>
          <w:iCs/>
        </w:rPr>
        <w:t xml:space="preserve"> 13</w:t>
      </w:r>
    </w:p>
    <w:p w14:paraId="2AAE8A98" w14:textId="0E7D73E6" w:rsidR="00440CAE" w:rsidRPr="007B42B9" w:rsidRDefault="00440CAE" w:rsidP="006655BF">
      <w:pPr>
        <w:rPr>
          <w:u w:val="single"/>
        </w:rPr>
      </w:pPr>
      <w:r w:rsidRPr="00B66B7B">
        <w:rPr>
          <w:u w:val="single"/>
        </w:rPr>
        <w:t>Am</w:t>
      </w:r>
      <w:r w:rsidR="00B66B7B" w:rsidRPr="00B66B7B">
        <w:rPr>
          <w:u w:val="single"/>
        </w:rPr>
        <w:t>n</w:t>
      </w:r>
      <w:r w:rsidRPr="00B66B7B">
        <w:rPr>
          <w:u w:val="single"/>
        </w:rPr>
        <w:t>o</w:t>
      </w:r>
      <w:r w:rsidR="007B42B9">
        <w:rPr>
          <w:u w:val="single"/>
        </w:rPr>
        <w:t xml:space="preserve">n and </w:t>
      </w:r>
      <w:r w:rsidRPr="007B42B9">
        <w:rPr>
          <w:u w:val="single"/>
        </w:rPr>
        <w:t>Tamar</w:t>
      </w:r>
    </w:p>
    <w:p w14:paraId="475AAA2E" w14:textId="656A642B" w:rsidR="007B42B9" w:rsidRDefault="006347F7" w:rsidP="006655BF">
      <w:r>
        <w:t xml:space="preserve">According to 2 Samuel 3:2, Amnon </w:t>
      </w:r>
      <w:r w:rsidR="003F2049">
        <w:t xml:space="preserve">was the first son that David had with his wife Ahinoam of Jezreel. David married Ahinoam after </w:t>
      </w:r>
      <w:r w:rsidR="00114821">
        <w:t>he married Michal</w:t>
      </w:r>
      <w:r w:rsidR="00EF6495">
        <w:t>,</w:t>
      </w:r>
      <w:r w:rsidR="00114821">
        <w:t xml:space="preserve"> but before he married Abigail.</w:t>
      </w:r>
      <w:r w:rsidR="006A2874">
        <w:rPr>
          <w:rStyle w:val="FootnoteReference"/>
        </w:rPr>
        <w:footnoteReference w:id="124"/>
      </w:r>
      <w:r w:rsidR="00114821">
        <w:t xml:space="preserve"> </w:t>
      </w:r>
      <w:r w:rsidR="00C679A8">
        <w:t>Amnon</w:t>
      </w:r>
      <w:r w:rsidR="00AE0693">
        <w:t xml:space="preserve"> </w:t>
      </w:r>
      <w:r w:rsidR="00034256">
        <w:t>took</w:t>
      </w:r>
      <w:r w:rsidR="00F35EC7">
        <w:t xml:space="preserve"> his</w:t>
      </w:r>
      <w:r w:rsidR="00034256">
        <w:t xml:space="preserve"> friend </w:t>
      </w:r>
      <w:r w:rsidR="00611592">
        <w:t xml:space="preserve">Jonadab’s advice and ended up </w:t>
      </w:r>
      <w:r w:rsidR="00AE0693">
        <w:t>rap</w:t>
      </w:r>
      <w:r w:rsidR="00611592">
        <w:t>ing</w:t>
      </w:r>
      <w:r w:rsidR="00AE0693">
        <w:t xml:space="preserve"> his </w:t>
      </w:r>
      <w:r w:rsidR="00682746">
        <w:t>half-sister,</w:t>
      </w:r>
      <w:r w:rsidR="00AE0693">
        <w:t xml:space="preserve"> Tamar</w:t>
      </w:r>
      <w:r w:rsidR="00611592">
        <w:t xml:space="preserve">. </w:t>
      </w:r>
      <w:r w:rsidR="00F80636">
        <w:t xml:space="preserve">Two years later, </w:t>
      </w:r>
      <w:r w:rsidR="00682746">
        <w:t>Absalom</w:t>
      </w:r>
      <w:r w:rsidR="00F80636">
        <w:t xml:space="preserve"> avenged his sister Tamar’s death by </w:t>
      </w:r>
      <w:r w:rsidR="00682746">
        <w:t xml:space="preserve">having Amnon assassinated. </w:t>
      </w:r>
      <w:r w:rsidR="00D31659">
        <w:t>(2 Sam</w:t>
      </w:r>
      <w:r w:rsidR="008F5C22">
        <w:t>.</w:t>
      </w:r>
      <w:r w:rsidR="00D31659">
        <w:t xml:space="preserve"> 13:29)</w:t>
      </w:r>
      <w:r w:rsidR="00D51BB6">
        <w:rPr>
          <w:rStyle w:val="FootnoteReference"/>
        </w:rPr>
        <w:footnoteReference w:id="125"/>
      </w:r>
      <w:r w:rsidR="00D31659">
        <w:t xml:space="preserve"> </w:t>
      </w:r>
    </w:p>
    <w:p w14:paraId="499F69D0" w14:textId="7DD3F493" w:rsidR="00440CAE" w:rsidRPr="00D51BB6" w:rsidRDefault="000E3F47" w:rsidP="006655BF">
      <w:pPr>
        <w:rPr>
          <w:u w:val="single"/>
        </w:rPr>
      </w:pPr>
      <w:r w:rsidRPr="00D51BB6">
        <w:rPr>
          <w:u w:val="single"/>
        </w:rPr>
        <w:t>Absalom</w:t>
      </w:r>
      <w:r w:rsidR="00440CAE" w:rsidRPr="00D51BB6">
        <w:rPr>
          <w:u w:val="single"/>
        </w:rPr>
        <w:t xml:space="preserve"> </w:t>
      </w:r>
    </w:p>
    <w:p w14:paraId="6F83CA31" w14:textId="7DCF8BF1" w:rsidR="004A078C" w:rsidRDefault="00653864" w:rsidP="006655BF">
      <w:r>
        <w:t>Absalom was the third son of David</w:t>
      </w:r>
      <w:r w:rsidR="003B0478">
        <w:t>. He kill</w:t>
      </w:r>
      <w:r w:rsidR="008F5C22">
        <w:t>ed</w:t>
      </w:r>
      <w:r w:rsidR="003B0478">
        <w:t xml:space="preserve"> Amnon for raping his sister, Tamar. He </w:t>
      </w:r>
      <w:r w:rsidR="008F5C22">
        <w:t>wa</w:t>
      </w:r>
      <w:r w:rsidR="003B0478">
        <w:t xml:space="preserve">s exiled to Geshur, the </w:t>
      </w:r>
      <w:r w:rsidR="00B472BB">
        <w:t>home of his mother</w:t>
      </w:r>
      <w:r w:rsidR="00B6065A">
        <w:t xml:space="preserve"> Maacah. Absalom conspir</w:t>
      </w:r>
      <w:r w:rsidR="008F5C22">
        <w:t>ed</w:t>
      </w:r>
      <w:r w:rsidR="00B6065A">
        <w:t xml:space="preserve"> to overthrow David and </w:t>
      </w:r>
      <w:r w:rsidR="00A83954">
        <w:t>buil</w:t>
      </w:r>
      <w:r w:rsidR="008F5C22">
        <w:t>t</w:t>
      </w:r>
      <w:r w:rsidR="00A83954">
        <w:t xml:space="preserve"> a sizable following in Israel, eventually declaring himself king in Hebron. </w:t>
      </w:r>
      <w:r w:rsidR="00182538">
        <w:t>He chase</w:t>
      </w:r>
      <w:r w:rsidR="008F5C22">
        <w:t>d</w:t>
      </w:r>
      <w:r w:rsidR="00182538">
        <w:t xml:space="preserve"> David out of Jerusalem and attack</w:t>
      </w:r>
      <w:r w:rsidR="00292551">
        <w:t>ed</w:t>
      </w:r>
      <w:r w:rsidR="00182538">
        <w:t xml:space="preserve"> David in Ephraim. Absalom </w:t>
      </w:r>
      <w:r w:rsidR="00292551">
        <w:t>wa</w:t>
      </w:r>
      <w:r w:rsidR="00182538">
        <w:t xml:space="preserve">s defeated and, against David’s wishes, </w:t>
      </w:r>
      <w:r w:rsidR="00292551">
        <w:t>wa</w:t>
      </w:r>
      <w:r w:rsidR="00182538">
        <w:t>s killed by Joab.</w:t>
      </w:r>
      <w:r w:rsidR="00FF3913">
        <w:rPr>
          <w:rStyle w:val="FootnoteReference"/>
        </w:rPr>
        <w:footnoteReference w:id="126"/>
      </w:r>
    </w:p>
    <w:p w14:paraId="561D4FE9" w14:textId="03873A44" w:rsidR="00C82919" w:rsidRDefault="008B3709" w:rsidP="006655BF">
      <w:pPr>
        <w:rPr>
          <w:u w:val="single"/>
        </w:rPr>
      </w:pPr>
      <w:r w:rsidRPr="008B3709">
        <w:rPr>
          <w:u w:val="single"/>
        </w:rPr>
        <w:t>Geshur</w:t>
      </w:r>
    </w:p>
    <w:p w14:paraId="56693F78" w14:textId="4ADA3662" w:rsidR="001500DC" w:rsidRPr="00FA62F0" w:rsidRDefault="003B66E8" w:rsidP="006655BF">
      <w:r>
        <w:t>Geshur was a</w:t>
      </w:r>
      <w:r w:rsidR="00653E95">
        <w:t>n</w:t>
      </w:r>
      <w:r>
        <w:t xml:space="preserve"> Ar</w:t>
      </w:r>
      <w:r w:rsidR="00653E95">
        <w:t>a</w:t>
      </w:r>
      <w:r>
        <w:t xml:space="preserve">mean city-state </w:t>
      </w:r>
      <w:r w:rsidR="00292551">
        <w:t>northeast</w:t>
      </w:r>
      <w:r>
        <w:t xml:space="preserve"> of the Sea of Galilee, between Bashan and Hermon. </w:t>
      </w:r>
      <w:r w:rsidR="00F81EFB">
        <w:t>David married Maacah</w:t>
      </w:r>
      <w:r w:rsidR="00653E95">
        <w:t xml:space="preserve">, </w:t>
      </w:r>
      <w:r w:rsidR="006272AD">
        <w:t>whose</w:t>
      </w:r>
      <w:r w:rsidR="00653E95">
        <w:t xml:space="preserve"> father was Talmai, the King of Geshur. </w:t>
      </w:r>
      <w:r w:rsidR="006272AD">
        <w:t xml:space="preserve">Maacah was Absalom’s mother, and Geshur </w:t>
      </w:r>
      <w:r w:rsidR="00292551">
        <w:t>wa</w:t>
      </w:r>
      <w:r w:rsidR="006272AD">
        <w:t>s the place he fle</w:t>
      </w:r>
      <w:r w:rsidR="007A7E19">
        <w:t>d after he killed Amnon.</w:t>
      </w:r>
      <w:r w:rsidR="007A7E19">
        <w:rPr>
          <w:rStyle w:val="FootnoteReference"/>
        </w:rPr>
        <w:footnoteReference w:id="127"/>
      </w:r>
    </w:p>
    <w:p w14:paraId="079264BD" w14:textId="5129D253" w:rsidR="004A078C" w:rsidRPr="005A24CE" w:rsidRDefault="00295BEF" w:rsidP="006655BF">
      <w:pPr>
        <w:rPr>
          <w:i/>
          <w:iCs/>
        </w:rPr>
      </w:pPr>
      <w:r w:rsidRPr="005A24CE">
        <w:rPr>
          <w:i/>
          <w:iCs/>
        </w:rPr>
        <w:t>2 Sam</w:t>
      </w:r>
      <w:r w:rsidR="006E2009">
        <w:rPr>
          <w:i/>
          <w:iCs/>
        </w:rPr>
        <w:t>.</w:t>
      </w:r>
      <w:r w:rsidRPr="005A24CE">
        <w:rPr>
          <w:i/>
          <w:iCs/>
        </w:rPr>
        <w:t xml:space="preserve"> 14 </w:t>
      </w:r>
    </w:p>
    <w:p w14:paraId="356D70BE" w14:textId="77777777" w:rsidR="006D24B8" w:rsidRDefault="006D24B8" w:rsidP="006D24B8">
      <w:pPr>
        <w:rPr>
          <w:u w:val="single"/>
        </w:rPr>
      </w:pPr>
      <w:r>
        <w:rPr>
          <w:u w:val="single"/>
        </w:rPr>
        <w:t>“Longed to go out”</w:t>
      </w:r>
    </w:p>
    <w:p w14:paraId="428B03C3" w14:textId="3D91B963" w:rsidR="006D24B8" w:rsidRPr="00170DB7" w:rsidRDefault="006D24B8" w:rsidP="006D24B8">
      <w:r>
        <w:t>The meaning of the expressions “the spirit of the king longed to go out, (2 Sam. 13:39) and “the king’s heart went out to Absalom” are not clear in Hebrew. The expressions may point to the fact that David’s “enthusiasm for ma</w:t>
      </w:r>
      <w:r w:rsidR="004B7EEC">
        <w:t>r</w:t>
      </w:r>
      <w:r>
        <w:t>ching out against” Absalom was spent.</w:t>
      </w:r>
      <w:r>
        <w:rPr>
          <w:rStyle w:val="FootnoteReference"/>
        </w:rPr>
        <w:footnoteReference w:id="128"/>
      </w:r>
      <w:r>
        <w:t xml:space="preserve"> On the other hand, the expressions may convey that “David was still hostile to his son. Consequently, Joab had to use his elaborate deception to bring about Absalom’s recall.”</w:t>
      </w:r>
      <w:r>
        <w:rPr>
          <w:rStyle w:val="FootnoteReference"/>
        </w:rPr>
        <w:footnoteReference w:id="129"/>
      </w:r>
    </w:p>
    <w:p w14:paraId="3725CA33" w14:textId="31E5F71C" w:rsidR="00162287" w:rsidRDefault="00162287" w:rsidP="006655BF">
      <w:pPr>
        <w:rPr>
          <w:u w:val="single"/>
        </w:rPr>
      </w:pPr>
      <w:r>
        <w:rPr>
          <w:u w:val="single"/>
        </w:rPr>
        <w:lastRenderedPageBreak/>
        <w:t>Joab</w:t>
      </w:r>
    </w:p>
    <w:p w14:paraId="36B406F8" w14:textId="237352B2" w:rsidR="00162287" w:rsidRDefault="00162287" w:rsidP="006655BF">
      <w:r>
        <w:t xml:space="preserve">See </w:t>
      </w:r>
      <w:r w:rsidR="001C74A5" w:rsidRPr="001C74A5">
        <w:rPr>
          <w:u w:val="single"/>
        </w:rPr>
        <w:t>Joab</w:t>
      </w:r>
      <w:r>
        <w:t xml:space="preserve"> under 2 Sam</w:t>
      </w:r>
      <w:r w:rsidR="004B7EEC">
        <w:t>.</w:t>
      </w:r>
      <w:r>
        <w:t xml:space="preserve"> 2. </w:t>
      </w:r>
    </w:p>
    <w:p w14:paraId="376CE516" w14:textId="2C6C93AD" w:rsidR="00645D88" w:rsidRDefault="00645D88" w:rsidP="00645D88">
      <w:pPr>
        <w:rPr>
          <w:u w:val="single"/>
        </w:rPr>
      </w:pPr>
      <w:r w:rsidRPr="00170DB7">
        <w:rPr>
          <w:u w:val="single"/>
        </w:rPr>
        <w:t xml:space="preserve">Joab’s </w:t>
      </w:r>
      <w:r w:rsidR="00A96A8D">
        <w:rPr>
          <w:u w:val="single"/>
        </w:rPr>
        <w:t>Plan</w:t>
      </w:r>
    </w:p>
    <w:p w14:paraId="6DDDE7D6" w14:textId="63F36DA6" w:rsidR="00A96A8D" w:rsidRDefault="00A010DD" w:rsidP="00645D88">
      <w:r>
        <w:t>Joab devised a plan to help bring David’s family bac</w:t>
      </w:r>
      <w:r w:rsidR="002D34FB">
        <w:t>k</w:t>
      </w:r>
      <w:r>
        <w:t xml:space="preserve"> </w:t>
      </w:r>
      <w:r w:rsidR="002D34FB">
        <w:t>together</w:t>
      </w:r>
      <w:r>
        <w:t>.</w:t>
      </w:r>
      <w:r w:rsidR="002D34FB">
        <w:t xml:space="preserve"> Joab, like the prophet Nathan did in </w:t>
      </w:r>
      <w:r w:rsidR="009543C7">
        <w:t>1 Sam</w:t>
      </w:r>
      <w:r w:rsidR="00E302AD">
        <w:t xml:space="preserve">ual </w:t>
      </w:r>
      <w:r w:rsidR="009543C7">
        <w:t xml:space="preserve">12:1-14, </w:t>
      </w:r>
      <w:r w:rsidR="00BD7D56">
        <w:t xml:space="preserve">created a </w:t>
      </w:r>
      <w:r w:rsidR="001A30EC">
        <w:t>fictitious</w:t>
      </w:r>
      <w:r w:rsidR="00BD7D56">
        <w:t xml:space="preserve"> situation in order to compel the king to rethink his decision. Joab </w:t>
      </w:r>
      <w:r w:rsidR="000A0314">
        <w:t xml:space="preserve">enlisted a woman from Tekoa to act as a </w:t>
      </w:r>
      <w:r w:rsidR="008F6957">
        <w:t>woman</w:t>
      </w:r>
      <w:r w:rsidR="000A0314">
        <w:t xml:space="preserve"> in mo</w:t>
      </w:r>
      <w:r w:rsidR="001A30EC">
        <w:t>u</w:t>
      </w:r>
      <w:r w:rsidR="000A0314">
        <w:t xml:space="preserve">rning. </w:t>
      </w:r>
      <w:r w:rsidR="00DB354B">
        <w:t>“She was to come before King David to seek an authoritative judgment</w:t>
      </w:r>
      <w:r w:rsidR="008F6957">
        <w:t xml:space="preserve"> an</w:t>
      </w:r>
      <w:r w:rsidR="003B37F6">
        <w:t>d</w:t>
      </w:r>
      <w:r w:rsidR="008F6957">
        <w:t xml:space="preserve"> in the process deliver </w:t>
      </w:r>
      <w:r w:rsidR="003B37F6">
        <w:t xml:space="preserve">in </w:t>
      </w:r>
      <w:r w:rsidR="008F6957">
        <w:t>a convincing way a speech Joab had given her.”</w:t>
      </w:r>
      <w:r w:rsidR="0029679F">
        <w:rPr>
          <w:rStyle w:val="FootnoteReference"/>
        </w:rPr>
        <w:footnoteReference w:id="130"/>
      </w:r>
      <w:r w:rsidR="008F6957">
        <w:t xml:space="preserve"> Though the scheme was cunning, Joab’s motives app</w:t>
      </w:r>
      <w:r w:rsidR="0029679F">
        <w:t>ear pure in this situation.</w:t>
      </w:r>
    </w:p>
    <w:p w14:paraId="7B83E1AE" w14:textId="7761BA35" w:rsidR="006D24B8" w:rsidRDefault="006D24B8" w:rsidP="00645D88">
      <w:pPr>
        <w:rPr>
          <w:u w:val="single"/>
        </w:rPr>
      </w:pPr>
      <w:r w:rsidRPr="006D24B8">
        <w:rPr>
          <w:u w:val="single"/>
        </w:rPr>
        <w:t>Absalom</w:t>
      </w:r>
    </w:p>
    <w:p w14:paraId="352E1598" w14:textId="77822AEC" w:rsidR="006D24B8" w:rsidRPr="006D24B8" w:rsidRDefault="006D24B8" w:rsidP="00645D88">
      <w:r>
        <w:t xml:space="preserve">See </w:t>
      </w:r>
      <w:r w:rsidR="003B37F6" w:rsidRPr="003B37F6">
        <w:rPr>
          <w:u w:val="single"/>
        </w:rPr>
        <w:t>Absalom</w:t>
      </w:r>
      <w:r>
        <w:t xml:space="preserve"> under 2 Sam. 13. </w:t>
      </w:r>
    </w:p>
    <w:p w14:paraId="3DD116EC" w14:textId="4C76A5D3" w:rsidR="001749E0" w:rsidRPr="005A24CE" w:rsidRDefault="006D24B8" w:rsidP="006655BF">
      <w:pPr>
        <w:rPr>
          <w:i/>
          <w:iCs/>
        </w:rPr>
      </w:pPr>
      <w:r w:rsidRPr="005A24CE">
        <w:rPr>
          <w:i/>
          <w:iCs/>
        </w:rPr>
        <w:t>2 Sam</w:t>
      </w:r>
      <w:r w:rsidR="006E2009">
        <w:rPr>
          <w:i/>
          <w:iCs/>
        </w:rPr>
        <w:t>.</w:t>
      </w:r>
      <w:r w:rsidRPr="005A24CE">
        <w:rPr>
          <w:i/>
          <w:iCs/>
        </w:rPr>
        <w:t xml:space="preserve"> 15 </w:t>
      </w:r>
    </w:p>
    <w:p w14:paraId="7110EA91" w14:textId="20CBB049" w:rsidR="006D24B8" w:rsidRPr="00D3517A" w:rsidRDefault="007D0B3E" w:rsidP="006655BF">
      <w:pPr>
        <w:rPr>
          <w:u w:val="single"/>
        </w:rPr>
      </w:pPr>
      <w:r w:rsidRPr="00D3517A">
        <w:rPr>
          <w:u w:val="single"/>
        </w:rPr>
        <w:t>Hebron</w:t>
      </w:r>
    </w:p>
    <w:p w14:paraId="6A05BF32" w14:textId="10162218" w:rsidR="007D0B3E" w:rsidRPr="006D24B8" w:rsidRDefault="007D0B3E" w:rsidP="006655BF">
      <w:r>
        <w:t xml:space="preserve">See </w:t>
      </w:r>
      <w:r w:rsidR="006E2009" w:rsidRPr="006E2009">
        <w:rPr>
          <w:u w:val="single"/>
        </w:rPr>
        <w:t>Hebron</w:t>
      </w:r>
      <w:r>
        <w:t xml:space="preserve"> </w:t>
      </w:r>
      <w:r w:rsidR="009B77CC">
        <w:t xml:space="preserve">under 2 Sam. 2. </w:t>
      </w:r>
    </w:p>
    <w:p w14:paraId="6DAF9F14" w14:textId="577EF326" w:rsidR="00D3517A" w:rsidRPr="008D3E3E" w:rsidRDefault="00D3517A" w:rsidP="006655BF">
      <w:pPr>
        <w:rPr>
          <w:u w:val="single"/>
        </w:rPr>
      </w:pPr>
      <w:r w:rsidRPr="008D3E3E">
        <w:rPr>
          <w:u w:val="single"/>
        </w:rPr>
        <w:t>Ahith</w:t>
      </w:r>
      <w:r w:rsidR="00FF1D36" w:rsidRPr="008D3E3E">
        <w:rPr>
          <w:u w:val="single"/>
        </w:rPr>
        <w:t xml:space="preserve">ophel </w:t>
      </w:r>
    </w:p>
    <w:p w14:paraId="3C726511" w14:textId="3FE8E30A" w:rsidR="000D5428" w:rsidRPr="005A24CE" w:rsidRDefault="008F5CAA" w:rsidP="006655BF">
      <w:r>
        <w:t xml:space="preserve">Ahithophel was </w:t>
      </w:r>
      <w:r w:rsidR="001C435D">
        <w:t>Bathsheba’s</w:t>
      </w:r>
      <w:r>
        <w:t xml:space="preserve"> grandfather and one of David’s counselors. Ahithophel sided with Absalom during the </w:t>
      </w:r>
      <w:r w:rsidR="001C435D">
        <w:t>rebellion</w:t>
      </w:r>
      <w:r w:rsidR="003751C2">
        <w:t xml:space="preserve">, and he eventually committed </w:t>
      </w:r>
      <w:r w:rsidR="00933C79">
        <w:t>suicide</w:t>
      </w:r>
      <w:r w:rsidR="003751C2">
        <w:t xml:space="preserve"> when </w:t>
      </w:r>
      <w:r w:rsidR="00933C79">
        <w:t>Absalom</w:t>
      </w:r>
      <w:r w:rsidR="003751C2">
        <w:t xml:space="preserve"> </w:t>
      </w:r>
      <w:r w:rsidR="00AF0A94">
        <w:t>r</w:t>
      </w:r>
      <w:r w:rsidR="003751C2">
        <w:t xml:space="preserve">ejected his </w:t>
      </w:r>
      <w:r w:rsidR="00933C79">
        <w:t>advice on how to attack David.</w:t>
      </w:r>
      <w:r w:rsidR="00933C79">
        <w:rPr>
          <w:rStyle w:val="FootnoteReference"/>
        </w:rPr>
        <w:footnoteReference w:id="131"/>
      </w:r>
      <w:r w:rsidR="00933C79">
        <w:t xml:space="preserve"> </w:t>
      </w:r>
    </w:p>
    <w:p w14:paraId="7597CA4B" w14:textId="4434E643" w:rsidR="001749E0" w:rsidRDefault="00BB4047" w:rsidP="006655BF">
      <w:pPr>
        <w:rPr>
          <w:u w:val="single"/>
        </w:rPr>
      </w:pPr>
      <w:r w:rsidRPr="000D5428">
        <w:rPr>
          <w:u w:val="single"/>
        </w:rPr>
        <w:t>Hushai</w:t>
      </w:r>
    </w:p>
    <w:p w14:paraId="0F7488F7" w14:textId="77777777" w:rsidR="00EE3200" w:rsidRDefault="00040064" w:rsidP="006655BF">
      <w:r w:rsidRPr="00040064">
        <w:t>Hushai, like Ahithophel, was one of David’s counselors.</w:t>
      </w:r>
      <w:r>
        <w:t xml:space="preserve"> </w:t>
      </w:r>
      <w:r w:rsidR="003E16D8">
        <w:t xml:space="preserve">Hushai remained faithful to David and actually acted as a spy for him against Absalom. </w:t>
      </w:r>
      <w:r w:rsidR="00E832F3">
        <w:t>He was probably the father of Baana, one of Solomon’s 12 officers.</w:t>
      </w:r>
      <w:r w:rsidR="00BB4103">
        <w:rPr>
          <w:rStyle w:val="FootnoteReference"/>
        </w:rPr>
        <w:footnoteReference w:id="132"/>
      </w:r>
    </w:p>
    <w:p w14:paraId="21A9BF25" w14:textId="03B9F18E" w:rsidR="00BB4047" w:rsidRPr="00EE3200" w:rsidRDefault="00BB4047" w:rsidP="006655BF">
      <w:r w:rsidRPr="007A7F83">
        <w:rPr>
          <w:u w:val="single"/>
        </w:rPr>
        <w:t>Ittai</w:t>
      </w:r>
    </w:p>
    <w:p w14:paraId="7ABFEC30" w14:textId="00728FAA" w:rsidR="00EE3200" w:rsidRDefault="007D3DE3">
      <w:r>
        <w:t xml:space="preserve">Ittai served David in Jerusalem and went </w:t>
      </w:r>
      <w:r w:rsidR="00C80780">
        <w:t xml:space="preserve">into exile with him in Mahanaim. </w:t>
      </w:r>
      <w:r w:rsidR="00D246FC">
        <w:t xml:space="preserve">He </w:t>
      </w:r>
      <w:r w:rsidR="00913B53">
        <w:t>functioned</w:t>
      </w:r>
      <w:r w:rsidR="00D246FC">
        <w:t xml:space="preserve"> as one of three top commanders in David’s struggle against Absalom.</w:t>
      </w:r>
      <w:r w:rsidR="00D246FC">
        <w:rPr>
          <w:rStyle w:val="FootnoteReference"/>
        </w:rPr>
        <w:footnoteReference w:id="133"/>
      </w:r>
      <w:r w:rsidR="00D246FC">
        <w:t xml:space="preserve"> </w:t>
      </w:r>
      <w:r w:rsidR="00EE3200">
        <w:br w:type="page"/>
      </w:r>
    </w:p>
    <w:p w14:paraId="44E3A679" w14:textId="77777777" w:rsidR="007D1065" w:rsidRDefault="007D1065" w:rsidP="007D1065">
      <w:pPr>
        <w:rPr>
          <w:u w:val="single"/>
        </w:rPr>
      </w:pPr>
      <w:r w:rsidRPr="007D1065">
        <w:rPr>
          <w:u w:val="single"/>
        </w:rPr>
        <w:lastRenderedPageBreak/>
        <w:t>Zadok</w:t>
      </w:r>
    </w:p>
    <w:p w14:paraId="71D56506" w14:textId="62D9E388" w:rsidR="00F42027" w:rsidRPr="00541BC9" w:rsidRDefault="00EB260A" w:rsidP="006655BF">
      <w:r>
        <w:t xml:space="preserve">Zadok was one of David’s priests. </w:t>
      </w:r>
      <w:r w:rsidR="00862108">
        <w:t xml:space="preserve">He sided with Solomon against Adonijah and eventually anointed Solomon as king. </w:t>
      </w:r>
      <w:r w:rsidR="00570EE5">
        <w:t>D</w:t>
      </w:r>
      <w:r w:rsidR="00846C8D">
        <w:t xml:space="preserve">uring </w:t>
      </w:r>
      <w:r w:rsidR="00B314DA">
        <w:t>Solomon's</w:t>
      </w:r>
      <w:r w:rsidR="00846C8D">
        <w:t xml:space="preserve"> reign, Zadok was the sole chief priest after Abiathar was banished. “</w:t>
      </w:r>
      <w:r w:rsidR="001B4D1B">
        <w:t xml:space="preserve">Zadok’s </w:t>
      </w:r>
      <w:r w:rsidR="00846C8D">
        <w:t xml:space="preserve">decedents controlled the priesthood in Jerusalem from this time on until the exile (the chief priest in Hezekiah’s time is said to be from the house of </w:t>
      </w:r>
      <w:r w:rsidR="00F42027">
        <w:t>Zadok) …</w:t>
      </w:r>
      <w:r w:rsidR="00846C8D">
        <w:t>.</w:t>
      </w:r>
      <w:r w:rsidR="00654DD6">
        <w:t>”</w:t>
      </w:r>
      <w:r w:rsidR="00654DD6">
        <w:rPr>
          <w:rStyle w:val="FootnoteReference"/>
        </w:rPr>
        <w:footnoteReference w:id="134"/>
      </w:r>
    </w:p>
    <w:p w14:paraId="5306CE92" w14:textId="54CBD103" w:rsidR="001749E0" w:rsidRPr="005A24CE" w:rsidRDefault="007A2E1B" w:rsidP="006655BF">
      <w:pPr>
        <w:rPr>
          <w:i/>
          <w:iCs/>
        </w:rPr>
      </w:pPr>
      <w:r w:rsidRPr="005A24CE">
        <w:rPr>
          <w:i/>
          <w:iCs/>
        </w:rPr>
        <w:t>2 Sam</w:t>
      </w:r>
      <w:r w:rsidR="006E2009">
        <w:rPr>
          <w:i/>
          <w:iCs/>
        </w:rPr>
        <w:t>.</w:t>
      </w:r>
      <w:r w:rsidRPr="005A24CE">
        <w:rPr>
          <w:i/>
          <w:iCs/>
        </w:rPr>
        <w:t xml:space="preserve"> 16</w:t>
      </w:r>
    </w:p>
    <w:p w14:paraId="07B32F75" w14:textId="4400E312" w:rsidR="001749E0" w:rsidRDefault="00FA5A26" w:rsidP="006655BF">
      <w:pPr>
        <w:rPr>
          <w:u w:val="single"/>
        </w:rPr>
      </w:pPr>
      <w:r>
        <w:rPr>
          <w:u w:val="single"/>
        </w:rPr>
        <w:t>Ziba</w:t>
      </w:r>
    </w:p>
    <w:p w14:paraId="0F360D6D" w14:textId="1A4BD69B" w:rsidR="00F17A5F" w:rsidRDefault="00F17A5F" w:rsidP="00F17A5F">
      <w:r>
        <w:t xml:space="preserve">See </w:t>
      </w:r>
      <w:r w:rsidRPr="00CB0A95">
        <w:rPr>
          <w:u w:val="single"/>
        </w:rPr>
        <w:t>Mephibosheth</w:t>
      </w:r>
      <w:r w:rsidR="00C47756">
        <w:t xml:space="preserve"> under 2 Sam. </w:t>
      </w:r>
      <w:r w:rsidR="00C47756" w:rsidRPr="007E61CA">
        <w:t xml:space="preserve">4. </w:t>
      </w:r>
    </w:p>
    <w:p w14:paraId="5B0A02D5" w14:textId="2ED0F83B" w:rsidR="007E61CA" w:rsidRPr="009C6332" w:rsidRDefault="00A232CF" w:rsidP="00F17A5F">
      <w:pPr>
        <w:rPr>
          <w:u w:val="single"/>
        </w:rPr>
      </w:pPr>
      <w:r w:rsidRPr="009C6332">
        <w:rPr>
          <w:u w:val="single"/>
        </w:rPr>
        <w:t>Shimei</w:t>
      </w:r>
      <w:r w:rsidR="008C4259" w:rsidRPr="009C6332">
        <w:rPr>
          <w:u w:val="single"/>
        </w:rPr>
        <w:t xml:space="preserve"> </w:t>
      </w:r>
    </w:p>
    <w:p w14:paraId="3A3E618D" w14:textId="39999BE6" w:rsidR="008C4259" w:rsidRDefault="00902596" w:rsidP="00F17A5F">
      <w:pPr>
        <w:rPr>
          <w:u w:val="single"/>
        </w:rPr>
      </w:pPr>
      <w:r>
        <w:t xml:space="preserve">Shimei was the son of Gera, </w:t>
      </w:r>
      <w:r w:rsidR="00720C71">
        <w:t>a Benjamite of Saul’s household. According to 2 Samuel 16, he insult</w:t>
      </w:r>
      <w:r w:rsidR="00D917F8">
        <w:t>ed</w:t>
      </w:r>
      <w:r w:rsidR="00720C71">
        <w:t xml:space="preserve"> </w:t>
      </w:r>
      <w:r w:rsidR="00945FA1">
        <w:t>K</w:t>
      </w:r>
      <w:r w:rsidR="00720C71">
        <w:t>ing David</w:t>
      </w:r>
      <w:r w:rsidR="00945FA1">
        <w:t>, but David d</w:t>
      </w:r>
      <w:r w:rsidR="00D917F8">
        <w:t>id</w:t>
      </w:r>
      <w:r w:rsidR="00945FA1">
        <w:t xml:space="preserve"> not allow Abishai to kill him. </w:t>
      </w:r>
      <w:r w:rsidR="009C6332">
        <w:t>Later</w:t>
      </w:r>
      <w:r w:rsidR="006E22BF">
        <w:t>,</w:t>
      </w:r>
      <w:r w:rsidR="009C6332">
        <w:t xml:space="preserve"> Shimei </w:t>
      </w:r>
      <w:r w:rsidR="009156E4">
        <w:t xml:space="preserve">appeared to </w:t>
      </w:r>
      <w:r w:rsidR="008159B4">
        <w:t>be penitent for his earlier actions (2 Sam. 19:16-23), and David again spare</w:t>
      </w:r>
      <w:r w:rsidR="00D917F8">
        <w:t>d</w:t>
      </w:r>
      <w:r w:rsidR="008159B4">
        <w:t xml:space="preserve"> his life. David was </w:t>
      </w:r>
      <w:r w:rsidR="00D917F8">
        <w:t xml:space="preserve">not </w:t>
      </w:r>
      <w:r w:rsidR="008159B4">
        <w:t xml:space="preserve">totally convinced of Shimei’s repentance and </w:t>
      </w:r>
      <w:r w:rsidR="00F9424E">
        <w:t>later recount</w:t>
      </w:r>
      <w:r w:rsidR="00D917F8">
        <w:t>ed</w:t>
      </w:r>
      <w:r w:rsidR="00F9424E">
        <w:t xml:space="preserve"> the whole ordeal to Solomon. As a result, Solomon confine</w:t>
      </w:r>
      <w:r w:rsidR="00D917F8">
        <w:t>d</w:t>
      </w:r>
      <w:r w:rsidR="00F9424E">
        <w:t xml:space="preserve"> Shi</w:t>
      </w:r>
      <w:r w:rsidR="00C05EE8">
        <w:t xml:space="preserve">mei inside the wall </w:t>
      </w:r>
      <w:r w:rsidR="00D917F8">
        <w:t>of</w:t>
      </w:r>
      <w:r w:rsidR="00C05EE8">
        <w:t xml:space="preserve"> Jerusalem. Shimei obey</w:t>
      </w:r>
      <w:r w:rsidR="00D917F8">
        <w:t>ed</w:t>
      </w:r>
      <w:r w:rsidR="00C05EE8">
        <w:t xml:space="preserve"> for three years but then </w:t>
      </w:r>
      <w:r w:rsidR="00977F95">
        <w:t>travel</w:t>
      </w:r>
      <w:r w:rsidR="00D917F8">
        <w:t>ed</w:t>
      </w:r>
      <w:r w:rsidR="00977F95">
        <w:t xml:space="preserve"> outside the walls. When he returned, Beniah </w:t>
      </w:r>
      <w:r w:rsidR="009F213F">
        <w:t>killed him.</w:t>
      </w:r>
      <w:r w:rsidR="00671053" w:rsidRPr="00671053">
        <w:t xml:space="preserve"> </w:t>
      </w:r>
      <w:r w:rsidR="00671053">
        <w:t xml:space="preserve">(1 Kings 2:38-46) </w:t>
      </w:r>
      <w:r w:rsidR="009F213F">
        <w:rPr>
          <w:rStyle w:val="FootnoteReference"/>
        </w:rPr>
        <w:footnoteReference w:id="135"/>
      </w:r>
    </w:p>
    <w:p w14:paraId="2A817301" w14:textId="2887FF2C" w:rsidR="00FA5A26" w:rsidRPr="00D80B08" w:rsidRDefault="00D80B08" w:rsidP="006655BF">
      <w:pPr>
        <w:rPr>
          <w:u w:val="single"/>
        </w:rPr>
      </w:pPr>
      <w:r w:rsidRPr="00D80B08">
        <w:rPr>
          <w:u w:val="single"/>
        </w:rPr>
        <w:t>Ahithophel</w:t>
      </w:r>
    </w:p>
    <w:p w14:paraId="4EB95813" w14:textId="49A88BB7" w:rsidR="00D80B08" w:rsidRPr="00FA5A26" w:rsidRDefault="00D80B08" w:rsidP="006655BF">
      <w:r>
        <w:t xml:space="preserve">See </w:t>
      </w:r>
      <w:r w:rsidR="001C74A5" w:rsidRPr="00D80B08">
        <w:rPr>
          <w:u w:val="single"/>
        </w:rPr>
        <w:t>Ahithophel</w:t>
      </w:r>
      <w:r w:rsidR="001C74A5">
        <w:t xml:space="preserve"> </w:t>
      </w:r>
      <w:r>
        <w:t>under 2 Sam</w:t>
      </w:r>
      <w:r w:rsidR="00D917F8">
        <w:t>.</w:t>
      </w:r>
      <w:r>
        <w:t xml:space="preserve"> 15. </w:t>
      </w:r>
    </w:p>
    <w:p w14:paraId="56B1F79B" w14:textId="2A1E4E29" w:rsidR="001749E0" w:rsidRPr="005A24CE" w:rsidRDefault="00030EBF" w:rsidP="006655BF">
      <w:pPr>
        <w:rPr>
          <w:i/>
          <w:iCs/>
        </w:rPr>
      </w:pPr>
      <w:r w:rsidRPr="005A24CE">
        <w:rPr>
          <w:i/>
          <w:iCs/>
        </w:rPr>
        <w:t>2 Sam</w:t>
      </w:r>
      <w:r w:rsidR="006E2009">
        <w:rPr>
          <w:i/>
          <w:iCs/>
        </w:rPr>
        <w:t>.</w:t>
      </w:r>
      <w:r w:rsidRPr="005A24CE">
        <w:rPr>
          <w:i/>
          <w:iCs/>
        </w:rPr>
        <w:t xml:space="preserve"> 17</w:t>
      </w:r>
    </w:p>
    <w:p w14:paraId="28D97AF1" w14:textId="66F2638D" w:rsidR="00D203DF" w:rsidRDefault="00D203DF" w:rsidP="006655BF">
      <w:pPr>
        <w:rPr>
          <w:u w:val="single"/>
        </w:rPr>
      </w:pPr>
      <w:r>
        <w:rPr>
          <w:u w:val="single"/>
        </w:rPr>
        <w:t>Absalom</w:t>
      </w:r>
    </w:p>
    <w:p w14:paraId="2A4EB09A" w14:textId="6204C6D1" w:rsidR="00D203DF" w:rsidRPr="001C74A5" w:rsidRDefault="00D203DF" w:rsidP="006655BF">
      <w:pPr>
        <w:rPr>
          <w:u w:val="single"/>
        </w:rPr>
      </w:pPr>
      <w:r>
        <w:t xml:space="preserve">See </w:t>
      </w:r>
      <w:r w:rsidR="001C74A5">
        <w:rPr>
          <w:u w:val="single"/>
        </w:rPr>
        <w:t>Absalom</w:t>
      </w:r>
      <w:r w:rsidR="001C74A5" w:rsidRPr="001C74A5">
        <w:t xml:space="preserve"> </w:t>
      </w:r>
      <w:r>
        <w:t>under 2 Sam</w:t>
      </w:r>
      <w:r w:rsidR="00D917F8">
        <w:t>.</w:t>
      </w:r>
      <w:r w:rsidR="001C74A5">
        <w:t xml:space="preserve"> </w:t>
      </w:r>
      <w:r>
        <w:t>13.</w:t>
      </w:r>
    </w:p>
    <w:p w14:paraId="4BA926DF" w14:textId="7F52DC47" w:rsidR="00030EBF" w:rsidRPr="00886E81" w:rsidRDefault="00886E81" w:rsidP="006655BF">
      <w:pPr>
        <w:rPr>
          <w:u w:val="single"/>
        </w:rPr>
      </w:pPr>
      <w:r w:rsidRPr="00886E81">
        <w:rPr>
          <w:u w:val="single"/>
        </w:rPr>
        <w:t>Hushai</w:t>
      </w:r>
    </w:p>
    <w:p w14:paraId="285AB32A" w14:textId="6C4C29DF" w:rsidR="00886E81" w:rsidRPr="001C74A5" w:rsidRDefault="00886E81" w:rsidP="006655BF">
      <w:pPr>
        <w:rPr>
          <w:u w:val="single"/>
        </w:rPr>
      </w:pPr>
      <w:r>
        <w:t xml:space="preserve">See </w:t>
      </w:r>
      <w:r w:rsidR="001C74A5" w:rsidRPr="00886E81">
        <w:rPr>
          <w:u w:val="single"/>
        </w:rPr>
        <w:t>Hushai</w:t>
      </w:r>
      <w:r w:rsidR="001C74A5" w:rsidRPr="001C74A5">
        <w:t xml:space="preserve"> </w:t>
      </w:r>
      <w:r>
        <w:t>under 2 Sam</w:t>
      </w:r>
      <w:r w:rsidR="00D917F8">
        <w:t>.</w:t>
      </w:r>
      <w:r>
        <w:t xml:space="preserve"> 16. </w:t>
      </w:r>
    </w:p>
    <w:p w14:paraId="137A7F7E" w14:textId="69203AC8" w:rsidR="001749E0" w:rsidRPr="00BB09D2" w:rsidRDefault="00BB09D2" w:rsidP="006655BF">
      <w:pPr>
        <w:rPr>
          <w:u w:val="single"/>
        </w:rPr>
      </w:pPr>
      <w:r w:rsidRPr="00BB09D2">
        <w:rPr>
          <w:u w:val="single"/>
        </w:rPr>
        <w:t>Zadok</w:t>
      </w:r>
    </w:p>
    <w:p w14:paraId="5B8AE798" w14:textId="40EF4A12" w:rsidR="00BB09D2" w:rsidRDefault="00BB09D2" w:rsidP="006655BF">
      <w:r>
        <w:t xml:space="preserve">See </w:t>
      </w:r>
      <w:r w:rsidR="001C74A5" w:rsidRPr="001C74A5">
        <w:rPr>
          <w:u w:val="single"/>
        </w:rPr>
        <w:t>Zadok</w:t>
      </w:r>
      <w:r>
        <w:t xml:space="preserve"> under 2 Sam</w:t>
      </w:r>
      <w:r w:rsidR="00D917F8">
        <w:t>.</w:t>
      </w:r>
      <w:r>
        <w:t xml:space="preserve"> 15.</w:t>
      </w:r>
      <w:r w:rsidR="001C74A5">
        <w:br w:type="page"/>
      </w:r>
    </w:p>
    <w:p w14:paraId="2092ECF4" w14:textId="789620CE" w:rsidR="001749E0" w:rsidRPr="005C68C4" w:rsidRDefault="00195585" w:rsidP="006655BF">
      <w:pPr>
        <w:rPr>
          <w:u w:val="single"/>
        </w:rPr>
      </w:pPr>
      <w:r w:rsidRPr="005C68C4">
        <w:rPr>
          <w:u w:val="single"/>
        </w:rPr>
        <w:lastRenderedPageBreak/>
        <w:t>Mahanaim</w:t>
      </w:r>
    </w:p>
    <w:p w14:paraId="6215C31A" w14:textId="2B444D52" w:rsidR="00195585" w:rsidRDefault="00EB316B" w:rsidP="006655BF">
      <w:r>
        <w:t xml:space="preserve">Mahanaim </w:t>
      </w:r>
      <w:r w:rsidR="0054130C">
        <w:t>wa</w:t>
      </w:r>
      <w:r>
        <w:t xml:space="preserve">s the location where </w:t>
      </w:r>
      <w:r w:rsidR="006A782C">
        <w:t xml:space="preserve">Jacob saw </w:t>
      </w:r>
      <w:r w:rsidR="009B6C64">
        <w:t>angels while on his way home after being gone for two decades.</w:t>
      </w:r>
      <w:r w:rsidR="00793343" w:rsidRPr="00793343">
        <w:t xml:space="preserve"> </w:t>
      </w:r>
      <w:r w:rsidR="00793343">
        <w:t>(Gen. 32:2)</w:t>
      </w:r>
      <w:r w:rsidR="009B6C64">
        <w:t xml:space="preserve"> Mah</w:t>
      </w:r>
      <w:r w:rsidR="002B630D">
        <w:t>anaim literally mean</w:t>
      </w:r>
      <w:r w:rsidR="00B36105">
        <w:t>t</w:t>
      </w:r>
      <w:r w:rsidR="002B630D">
        <w:t xml:space="preserve"> “two camps.” The city was located in Gilead, east of the Jordan </w:t>
      </w:r>
      <w:r w:rsidR="001D60B5">
        <w:t>River</w:t>
      </w:r>
      <w:r w:rsidR="005D457E">
        <w:t>,</w:t>
      </w:r>
      <w:r w:rsidR="002B630D">
        <w:t xml:space="preserve"> around the </w:t>
      </w:r>
      <w:r w:rsidR="006E02AA">
        <w:t>Jabbok River</w:t>
      </w:r>
      <w:r w:rsidR="002B630D">
        <w:t xml:space="preserve">. </w:t>
      </w:r>
      <w:r w:rsidR="000B20B0">
        <w:t xml:space="preserve">Ishbo-sheth </w:t>
      </w:r>
      <w:r w:rsidR="006E02AA">
        <w:t>made Mahanaim his capital and reigned there for two years</w:t>
      </w:r>
      <w:r w:rsidR="00B36105">
        <w:t>.</w:t>
      </w:r>
      <w:r w:rsidR="006E02AA">
        <w:t xml:space="preserve"> (2 Sam. 2:8, 12,</w:t>
      </w:r>
      <w:r w:rsidR="009E6FAB">
        <w:t xml:space="preserve"> </w:t>
      </w:r>
      <w:r w:rsidR="006E02AA">
        <w:t>29) David made Mahanaim his headquarters during Absalom’s rebellion (</w:t>
      </w:r>
      <w:r w:rsidR="00110AD3">
        <w:t>2 Sam. 17:24)</w:t>
      </w:r>
      <w:r w:rsidR="006E02AA">
        <w:t>, and Solomon made it the capital of one of his 12 districts. (1 Kin</w:t>
      </w:r>
      <w:r w:rsidR="00B36105">
        <w:t>gs</w:t>
      </w:r>
      <w:r w:rsidR="006E02AA">
        <w:t xml:space="preserve"> 4:14)</w:t>
      </w:r>
      <w:r w:rsidR="00110AD3">
        <w:rPr>
          <w:rStyle w:val="FootnoteReference"/>
        </w:rPr>
        <w:footnoteReference w:id="136"/>
      </w:r>
    </w:p>
    <w:p w14:paraId="03004585" w14:textId="493EE8F5" w:rsidR="00CC7DEC" w:rsidRPr="00B36105" w:rsidRDefault="00CC7DEC" w:rsidP="006655BF">
      <w:pPr>
        <w:rPr>
          <w:u w:val="single"/>
        </w:rPr>
      </w:pPr>
      <w:r w:rsidRPr="00B36105">
        <w:rPr>
          <w:u w:val="single"/>
        </w:rPr>
        <w:t>Barzillai</w:t>
      </w:r>
    </w:p>
    <w:p w14:paraId="61439EC5" w14:textId="41901A3C" w:rsidR="00CC7DEC" w:rsidRPr="00EB316B" w:rsidRDefault="00CC7DEC" w:rsidP="006655BF">
      <w:r>
        <w:t xml:space="preserve">Barzillai </w:t>
      </w:r>
      <w:r w:rsidR="00F02DD3">
        <w:t>showed David exceptional hospitality during the conflict wit</w:t>
      </w:r>
      <w:r w:rsidR="00E7361D">
        <w:t>h</w:t>
      </w:r>
      <w:r w:rsidR="00F02DD3">
        <w:t xml:space="preserve"> Absolom. </w:t>
      </w:r>
      <w:r w:rsidR="00E7361D">
        <w:t xml:space="preserve">(2 Sam. 17:27-29) He </w:t>
      </w:r>
      <w:r w:rsidR="002C722E">
        <w:t>accompanied</w:t>
      </w:r>
      <w:r w:rsidR="00E7361D">
        <w:t xml:space="preserve"> David </w:t>
      </w:r>
      <w:r w:rsidR="002C722E">
        <w:t>over</w:t>
      </w:r>
      <w:r w:rsidR="007B52FC">
        <w:t xml:space="preserve"> the Jordan after David’s triumph</w:t>
      </w:r>
      <w:r w:rsidR="002C722E">
        <w:t xml:space="preserve">ant return. David offered to make </w:t>
      </w:r>
      <w:r w:rsidR="00615D79">
        <w:t>Barzillai</w:t>
      </w:r>
      <w:r w:rsidR="002C722E">
        <w:t xml:space="preserve"> part of his court, but Barzilla declined because of his age. Instead, he asked </w:t>
      </w:r>
      <w:r w:rsidR="001D60B5">
        <w:t xml:space="preserve">David to </w:t>
      </w:r>
      <w:r w:rsidR="002C722E">
        <w:t xml:space="preserve">bless his </w:t>
      </w:r>
      <w:r w:rsidR="00FC1C6F">
        <w:t>son Chimham</w:t>
      </w:r>
      <w:r w:rsidR="00B36105">
        <w:t xml:space="preserve">. </w:t>
      </w:r>
      <w:r w:rsidR="00FC1C6F">
        <w:t xml:space="preserve">(2 Sam. 19:31-39) </w:t>
      </w:r>
      <w:r w:rsidR="00615D79">
        <w:t>Even on his deathbed, David recalled Barzilai’s kindness and asked Solomon to continue to provide for his children.</w:t>
      </w:r>
      <w:r w:rsidR="00615D79">
        <w:rPr>
          <w:rStyle w:val="FootnoteReference"/>
        </w:rPr>
        <w:footnoteReference w:id="137"/>
      </w:r>
    </w:p>
    <w:p w14:paraId="6B86B1FE" w14:textId="2EB381A2" w:rsidR="001749E0" w:rsidRPr="005A24CE" w:rsidRDefault="00A232A4" w:rsidP="006655BF">
      <w:pPr>
        <w:rPr>
          <w:i/>
          <w:iCs/>
        </w:rPr>
      </w:pPr>
      <w:r w:rsidRPr="005A24CE">
        <w:rPr>
          <w:i/>
          <w:iCs/>
        </w:rPr>
        <w:t>2 Sam</w:t>
      </w:r>
      <w:r w:rsidR="006E2009">
        <w:rPr>
          <w:i/>
          <w:iCs/>
        </w:rPr>
        <w:t>.</w:t>
      </w:r>
      <w:r w:rsidRPr="005A24CE">
        <w:rPr>
          <w:i/>
          <w:iCs/>
        </w:rPr>
        <w:t xml:space="preserve"> 1</w:t>
      </w:r>
      <w:r w:rsidR="00F63455" w:rsidRPr="005A24CE">
        <w:rPr>
          <w:i/>
          <w:iCs/>
        </w:rPr>
        <w:t>8</w:t>
      </w:r>
    </w:p>
    <w:p w14:paraId="58DF32AC" w14:textId="77777777" w:rsidR="00F63455" w:rsidRPr="007A7F83" w:rsidRDefault="00F63455" w:rsidP="00F63455">
      <w:pPr>
        <w:rPr>
          <w:u w:val="single"/>
        </w:rPr>
      </w:pPr>
      <w:r w:rsidRPr="007A7F83">
        <w:rPr>
          <w:u w:val="single"/>
        </w:rPr>
        <w:t>Ittai</w:t>
      </w:r>
    </w:p>
    <w:p w14:paraId="521DB615" w14:textId="46C37D72" w:rsidR="00F63455" w:rsidRPr="001C74A5" w:rsidRDefault="00F63455" w:rsidP="006655BF">
      <w:pPr>
        <w:rPr>
          <w:u w:val="single"/>
        </w:rPr>
      </w:pPr>
      <w:r>
        <w:t xml:space="preserve">See </w:t>
      </w:r>
      <w:r w:rsidR="001C74A5" w:rsidRPr="007A7F83">
        <w:rPr>
          <w:u w:val="single"/>
        </w:rPr>
        <w:t>Ittai</w:t>
      </w:r>
      <w:r w:rsidR="001C74A5" w:rsidRPr="001C74A5">
        <w:t xml:space="preserve"> </w:t>
      </w:r>
      <w:r>
        <w:t>under 2 Sam</w:t>
      </w:r>
      <w:r w:rsidR="00B36105">
        <w:t>.</w:t>
      </w:r>
      <w:r>
        <w:t xml:space="preserve"> 15. </w:t>
      </w:r>
    </w:p>
    <w:p w14:paraId="3B9499A1" w14:textId="197BCD39" w:rsidR="00EB5060" w:rsidRDefault="00EB5060" w:rsidP="006655BF">
      <w:pPr>
        <w:rPr>
          <w:u w:val="single"/>
        </w:rPr>
      </w:pPr>
      <w:r>
        <w:rPr>
          <w:u w:val="single"/>
        </w:rPr>
        <w:t>Absalom</w:t>
      </w:r>
    </w:p>
    <w:p w14:paraId="76C57E23" w14:textId="68A616BF" w:rsidR="00EB5060" w:rsidRPr="00EB5060" w:rsidRDefault="00EB5060" w:rsidP="006655BF">
      <w:r>
        <w:t xml:space="preserve">See </w:t>
      </w:r>
      <w:r w:rsidR="001C74A5" w:rsidRPr="001C74A5">
        <w:rPr>
          <w:u w:val="single"/>
        </w:rPr>
        <w:t>Absalom</w:t>
      </w:r>
      <w:r>
        <w:t xml:space="preserve"> under 2 Sam</w:t>
      </w:r>
      <w:r w:rsidR="00B36105">
        <w:t>.</w:t>
      </w:r>
      <w:r>
        <w:t xml:space="preserve"> 13. </w:t>
      </w:r>
    </w:p>
    <w:p w14:paraId="481EFAA7" w14:textId="2F9328E5" w:rsidR="00F63455" w:rsidRPr="0009755D" w:rsidRDefault="0009755D" w:rsidP="006655BF">
      <w:pPr>
        <w:rPr>
          <w:u w:val="single"/>
        </w:rPr>
      </w:pPr>
      <w:r w:rsidRPr="0009755D">
        <w:rPr>
          <w:u w:val="single"/>
        </w:rPr>
        <w:t>Joab</w:t>
      </w:r>
    </w:p>
    <w:p w14:paraId="5D55455C" w14:textId="2C984544" w:rsidR="0009755D" w:rsidRDefault="0009755D" w:rsidP="006655BF">
      <w:r>
        <w:t xml:space="preserve">See </w:t>
      </w:r>
      <w:r w:rsidR="001C74A5" w:rsidRPr="001C74A5">
        <w:rPr>
          <w:u w:val="single"/>
        </w:rPr>
        <w:t>Joab</w:t>
      </w:r>
      <w:r>
        <w:t xml:space="preserve"> under 2 Sam</w:t>
      </w:r>
      <w:r w:rsidR="00B36105">
        <w:t>.</w:t>
      </w:r>
      <w:r>
        <w:t xml:space="preserve"> 2. </w:t>
      </w:r>
    </w:p>
    <w:p w14:paraId="3B5F45DD" w14:textId="3780EF15" w:rsidR="006D7FBF" w:rsidRPr="005A24CE" w:rsidRDefault="00E9700F" w:rsidP="006655BF">
      <w:pPr>
        <w:rPr>
          <w:i/>
          <w:iCs/>
        </w:rPr>
      </w:pPr>
      <w:r w:rsidRPr="005A24CE">
        <w:rPr>
          <w:i/>
          <w:iCs/>
        </w:rPr>
        <w:t>2 Sam</w:t>
      </w:r>
      <w:r w:rsidR="006E2009">
        <w:rPr>
          <w:i/>
          <w:iCs/>
        </w:rPr>
        <w:t>.</w:t>
      </w:r>
      <w:r w:rsidRPr="005A24CE">
        <w:rPr>
          <w:i/>
          <w:iCs/>
        </w:rPr>
        <w:t xml:space="preserve"> 19</w:t>
      </w:r>
    </w:p>
    <w:p w14:paraId="6E2C280B" w14:textId="46C980CE" w:rsidR="00E9700F" w:rsidRPr="00CD5C88" w:rsidRDefault="006D3AF8" w:rsidP="006655BF">
      <w:pPr>
        <w:rPr>
          <w:u w:val="single"/>
        </w:rPr>
      </w:pPr>
      <w:r w:rsidRPr="00CD5C88">
        <w:rPr>
          <w:u w:val="single"/>
        </w:rPr>
        <w:t>Amasa</w:t>
      </w:r>
    </w:p>
    <w:p w14:paraId="03457FC7" w14:textId="0B6D5057" w:rsidR="006D3AF8" w:rsidRPr="00F63455" w:rsidRDefault="006D3AF8" w:rsidP="006655BF">
      <w:r>
        <w:t xml:space="preserve">See </w:t>
      </w:r>
      <w:r w:rsidRPr="00B36105">
        <w:rPr>
          <w:u w:val="single"/>
        </w:rPr>
        <w:t>Joab</w:t>
      </w:r>
      <w:r w:rsidR="00CD5C88">
        <w:t xml:space="preserve"> under 2 Sam</w:t>
      </w:r>
      <w:r w:rsidR="00B36105">
        <w:t>.</w:t>
      </w:r>
      <w:r w:rsidR="00CD5C88">
        <w:t xml:space="preserve"> 2. </w:t>
      </w:r>
    </w:p>
    <w:p w14:paraId="1BA29C72" w14:textId="094788A5" w:rsidR="00CD5C88" w:rsidRPr="00054F72" w:rsidRDefault="002D324D" w:rsidP="006655BF">
      <w:pPr>
        <w:rPr>
          <w:u w:val="single"/>
        </w:rPr>
      </w:pPr>
      <w:r w:rsidRPr="00054F72">
        <w:rPr>
          <w:u w:val="single"/>
        </w:rPr>
        <w:t>Shimei</w:t>
      </w:r>
    </w:p>
    <w:p w14:paraId="154D28DE" w14:textId="7BAFE08F" w:rsidR="002D324D" w:rsidRDefault="002D324D" w:rsidP="006655BF">
      <w:r>
        <w:t xml:space="preserve">See </w:t>
      </w:r>
      <w:r w:rsidR="001C74A5" w:rsidRPr="001C74A5">
        <w:rPr>
          <w:u w:val="single"/>
        </w:rPr>
        <w:t>Shimei</w:t>
      </w:r>
      <w:r>
        <w:t xml:space="preserve"> under 2 Sam</w:t>
      </w:r>
      <w:r w:rsidR="00B36105">
        <w:t>.</w:t>
      </w:r>
      <w:r>
        <w:t xml:space="preserve"> 16. </w:t>
      </w:r>
    </w:p>
    <w:p w14:paraId="4E549F15" w14:textId="77777777" w:rsidR="00054F72" w:rsidRPr="00054F72" w:rsidRDefault="00054F72" w:rsidP="00054F72">
      <w:pPr>
        <w:rPr>
          <w:u w:val="single"/>
        </w:rPr>
      </w:pPr>
      <w:r w:rsidRPr="00054F72">
        <w:rPr>
          <w:u w:val="single"/>
        </w:rPr>
        <w:t xml:space="preserve">Mephibosheth </w:t>
      </w:r>
    </w:p>
    <w:p w14:paraId="43D8309E" w14:textId="2546CEAE" w:rsidR="00A25E65" w:rsidRDefault="00054F72">
      <w:r>
        <w:t xml:space="preserve">See </w:t>
      </w:r>
      <w:r w:rsidRPr="001C74A5">
        <w:rPr>
          <w:u w:val="single"/>
        </w:rPr>
        <w:t>Mephibosheth</w:t>
      </w:r>
      <w:r>
        <w:t xml:space="preserve"> under 2 Sam</w:t>
      </w:r>
      <w:r w:rsidR="00B36105">
        <w:t>.</w:t>
      </w:r>
      <w:r>
        <w:t xml:space="preserve"> </w:t>
      </w:r>
      <w:r w:rsidRPr="007E61CA">
        <w:t xml:space="preserve">4. </w:t>
      </w:r>
      <w:r w:rsidR="00A25E65">
        <w:br w:type="page"/>
      </w:r>
    </w:p>
    <w:p w14:paraId="354002EF" w14:textId="7610E6CA" w:rsidR="007E126E" w:rsidRPr="00842C9A" w:rsidRDefault="007E126E" w:rsidP="00054F72">
      <w:pPr>
        <w:rPr>
          <w:u w:val="single"/>
        </w:rPr>
      </w:pPr>
      <w:r w:rsidRPr="00842C9A">
        <w:rPr>
          <w:u w:val="single"/>
        </w:rPr>
        <w:lastRenderedPageBreak/>
        <w:t>Bar</w:t>
      </w:r>
      <w:r w:rsidR="00842C9A" w:rsidRPr="00842C9A">
        <w:rPr>
          <w:u w:val="single"/>
        </w:rPr>
        <w:t>zillai</w:t>
      </w:r>
    </w:p>
    <w:p w14:paraId="2B43493A" w14:textId="22F699AE" w:rsidR="00842C9A" w:rsidRPr="001C74A5" w:rsidRDefault="00F10EE5" w:rsidP="00054F72">
      <w:pPr>
        <w:rPr>
          <w:u w:val="single"/>
        </w:rPr>
      </w:pPr>
      <w:r>
        <w:t xml:space="preserve">See </w:t>
      </w:r>
      <w:r w:rsidR="001C74A5" w:rsidRPr="00842C9A">
        <w:rPr>
          <w:u w:val="single"/>
        </w:rPr>
        <w:t>Barzillai</w:t>
      </w:r>
      <w:r w:rsidR="001C74A5" w:rsidRPr="001C74A5">
        <w:t xml:space="preserve"> </w:t>
      </w:r>
      <w:r>
        <w:t>under 2 Sam. 17.</w:t>
      </w:r>
    </w:p>
    <w:p w14:paraId="78B43A1A" w14:textId="5C3FF5EE" w:rsidR="001749E0" w:rsidRPr="005A24CE" w:rsidRDefault="00054F72" w:rsidP="006655BF">
      <w:pPr>
        <w:rPr>
          <w:i/>
          <w:iCs/>
        </w:rPr>
      </w:pPr>
      <w:r w:rsidRPr="005A24CE">
        <w:rPr>
          <w:i/>
          <w:iCs/>
        </w:rPr>
        <w:t>2 Sam</w:t>
      </w:r>
      <w:r w:rsidR="00A25E65">
        <w:rPr>
          <w:i/>
          <w:iCs/>
        </w:rPr>
        <w:t>.</w:t>
      </w:r>
      <w:r w:rsidRPr="005A24CE">
        <w:rPr>
          <w:i/>
          <w:iCs/>
        </w:rPr>
        <w:t xml:space="preserve"> 20</w:t>
      </w:r>
    </w:p>
    <w:p w14:paraId="5F38B830" w14:textId="2BFD64BD" w:rsidR="00054F72" w:rsidRPr="006A354F" w:rsidRDefault="006A354F" w:rsidP="006655BF">
      <w:pPr>
        <w:rPr>
          <w:u w:val="single"/>
        </w:rPr>
      </w:pPr>
      <w:r w:rsidRPr="006A354F">
        <w:rPr>
          <w:u w:val="single"/>
        </w:rPr>
        <w:t>Sheba</w:t>
      </w:r>
    </w:p>
    <w:p w14:paraId="55A8863B" w14:textId="1365BF91" w:rsidR="001749E0" w:rsidRDefault="00132D83" w:rsidP="006655BF">
      <w:r>
        <w:t xml:space="preserve">Sheba was of the tribe of Benjamin. He </w:t>
      </w:r>
      <w:r w:rsidR="00B36105">
        <w:t>wa</w:t>
      </w:r>
      <w:r>
        <w:t>s remembered for his unsuccessful rebellion against King David after Absalom’s defeat. Eventually, Sheba was beheaded by the citizens of Abel Beth Maacah.</w:t>
      </w:r>
      <w:r>
        <w:rPr>
          <w:rStyle w:val="FootnoteReference"/>
        </w:rPr>
        <w:footnoteReference w:id="138"/>
      </w:r>
      <w:r>
        <w:t xml:space="preserve"> </w:t>
      </w:r>
    </w:p>
    <w:p w14:paraId="09E88BF6" w14:textId="5AD98A80" w:rsidR="00A07CCB" w:rsidRDefault="00A07CCB" w:rsidP="00EE585F">
      <w:pPr>
        <w:rPr>
          <w:u w:val="single"/>
        </w:rPr>
      </w:pPr>
      <w:r>
        <w:rPr>
          <w:u w:val="single"/>
        </w:rPr>
        <w:t>Abel Beth Ma</w:t>
      </w:r>
      <w:r w:rsidR="00DD43EF">
        <w:rPr>
          <w:u w:val="single"/>
        </w:rPr>
        <w:t>achah</w:t>
      </w:r>
    </w:p>
    <w:p w14:paraId="1E11CC78" w14:textId="03CD61B3" w:rsidR="00DD43EF" w:rsidRPr="00DD43EF" w:rsidRDefault="001A6986" w:rsidP="00EE585F">
      <w:r w:rsidRPr="001A6986">
        <w:t>Abel Beth Maachah</w:t>
      </w:r>
      <w:r>
        <w:t xml:space="preserve"> was a fortified </w:t>
      </w:r>
      <w:r w:rsidR="000E167C">
        <w:t xml:space="preserve">town near the town of Dan. </w:t>
      </w:r>
      <w:r w:rsidR="00B36105">
        <w:t>Second</w:t>
      </w:r>
      <w:r w:rsidR="000E167C">
        <w:t xml:space="preserve"> Samuel </w:t>
      </w:r>
      <w:r w:rsidR="00F9439A">
        <w:t>20:19 describe</w:t>
      </w:r>
      <w:r w:rsidR="00B36105">
        <w:t>d</w:t>
      </w:r>
      <w:r w:rsidR="00F9439A">
        <w:t xml:space="preserve"> it as “a mother of Israel</w:t>
      </w:r>
      <w:r w:rsidR="009A3D37">
        <w:t>.</w:t>
      </w:r>
      <w:r w:rsidR="00F9439A">
        <w:t>”</w:t>
      </w:r>
      <w:r w:rsidR="009A3D37">
        <w:t xml:space="preserve"> </w:t>
      </w:r>
      <w:r w:rsidR="004173BB">
        <w:t>Ben-Hadad (1 Kin</w:t>
      </w:r>
      <w:r w:rsidR="00B36105">
        <w:t>gs</w:t>
      </w:r>
      <w:r w:rsidR="004173BB">
        <w:t xml:space="preserve"> 15:20) and Tiglath-Pileser (2 Kin</w:t>
      </w:r>
      <w:r w:rsidR="00B36105">
        <w:t>gs</w:t>
      </w:r>
      <w:r w:rsidR="004173BB">
        <w:t xml:space="preserve"> 15:29) </w:t>
      </w:r>
      <w:r w:rsidR="00C676DA">
        <w:t>both attacked the town.</w:t>
      </w:r>
      <w:r w:rsidR="00C676DA">
        <w:rPr>
          <w:rStyle w:val="FootnoteReference"/>
        </w:rPr>
        <w:footnoteReference w:id="139"/>
      </w:r>
      <w:r w:rsidR="00C676DA">
        <w:t xml:space="preserve"> </w:t>
      </w:r>
    </w:p>
    <w:p w14:paraId="15CB9FFC" w14:textId="36EF003A" w:rsidR="00EE585F" w:rsidRPr="00CD5C88" w:rsidRDefault="00EE585F" w:rsidP="00EE585F">
      <w:pPr>
        <w:rPr>
          <w:u w:val="single"/>
        </w:rPr>
      </w:pPr>
      <w:r w:rsidRPr="00CD5C88">
        <w:rPr>
          <w:u w:val="single"/>
        </w:rPr>
        <w:t>Amasa</w:t>
      </w:r>
    </w:p>
    <w:p w14:paraId="5165A595" w14:textId="1A7814C0" w:rsidR="005C7FD8" w:rsidRDefault="00EE585F" w:rsidP="006655BF">
      <w:r>
        <w:t xml:space="preserve">See </w:t>
      </w:r>
      <w:r w:rsidRPr="0085370D">
        <w:rPr>
          <w:u w:val="single"/>
        </w:rPr>
        <w:t>Joab</w:t>
      </w:r>
      <w:r>
        <w:t xml:space="preserve"> under 2 Sam</w:t>
      </w:r>
      <w:r w:rsidR="008547DB">
        <w:t>.</w:t>
      </w:r>
      <w:r>
        <w:t xml:space="preserve"> 2. </w:t>
      </w:r>
    </w:p>
    <w:p w14:paraId="600CF51A" w14:textId="77777777" w:rsidR="002B12E0" w:rsidRPr="0009755D" w:rsidRDefault="002B12E0" w:rsidP="002B12E0">
      <w:pPr>
        <w:rPr>
          <w:u w:val="single"/>
        </w:rPr>
      </w:pPr>
      <w:r w:rsidRPr="0009755D">
        <w:rPr>
          <w:u w:val="single"/>
        </w:rPr>
        <w:t>Joab</w:t>
      </w:r>
    </w:p>
    <w:p w14:paraId="02B34593" w14:textId="716049AC" w:rsidR="002B12E0" w:rsidRDefault="002B12E0" w:rsidP="006655BF">
      <w:r>
        <w:t xml:space="preserve">See </w:t>
      </w:r>
      <w:r w:rsidR="001C74A5" w:rsidRPr="001C74A5">
        <w:rPr>
          <w:u w:val="single"/>
        </w:rPr>
        <w:t>Joab</w:t>
      </w:r>
      <w:r>
        <w:t xml:space="preserve"> under 2 Sam</w:t>
      </w:r>
      <w:r w:rsidR="008547DB">
        <w:t>.</w:t>
      </w:r>
      <w:r>
        <w:t xml:space="preserve"> 2. </w:t>
      </w:r>
    </w:p>
    <w:p w14:paraId="72F69ECE" w14:textId="1CCAA167" w:rsidR="00553B21" w:rsidRPr="005A24CE" w:rsidRDefault="00553B21" w:rsidP="006655BF">
      <w:pPr>
        <w:rPr>
          <w:i/>
          <w:iCs/>
        </w:rPr>
      </w:pPr>
      <w:r w:rsidRPr="005A24CE">
        <w:rPr>
          <w:i/>
          <w:iCs/>
        </w:rPr>
        <w:t>2 Sam</w:t>
      </w:r>
      <w:r w:rsidR="00A25E65">
        <w:rPr>
          <w:i/>
          <w:iCs/>
        </w:rPr>
        <w:t>.</w:t>
      </w:r>
      <w:r w:rsidRPr="005A24CE">
        <w:rPr>
          <w:i/>
          <w:iCs/>
        </w:rPr>
        <w:t xml:space="preserve"> 21</w:t>
      </w:r>
    </w:p>
    <w:p w14:paraId="53EF928E" w14:textId="32049BA7" w:rsidR="00553B21" w:rsidRPr="00C865A1" w:rsidRDefault="00DA4470" w:rsidP="006655BF">
      <w:pPr>
        <w:rPr>
          <w:u w:val="single"/>
        </w:rPr>
      </w:pPr>
      <w:r w:rsidRPr="00C865A1">
        <w:rPr>
          <w:u w:val="single"/>
        </w:rPr>
        <w:t>Epilogue</w:t>
      </w:r>
    </w:p>
    <w:p w14:paraId="15AB4157" w14:textId="77777777" w:rsidR="001E372D" w:rsidRDefault="00DA4470" w:rsidP="006655BF">
      <w:r>
        <w:t xml:space="preserve">According to the </w:t>
      </w:r>
      <w:r w:rsidRPr="008547DB">
        <w:rPr>
          <w:i/>
          <w:iCs/>
        </w:rPr>
        <w:t>ESV Study Bible</w:t>
      </w:r>
      <w:r>
        <w:t xml:space="preserve">, </w:t>
      </w:r>
    </w:p>
    <w:p w14:paraId="6491C98A" w14:textId="39C3963D" w:rsidR="00DA4470" w:rsidRDefault="00DA4470" w:rsidP="001E372D">
      <w:pPr>
        <w:ind w:left="720"/>
      </w:pPr>
      <w:r>
        <w:t>Thes</w:t>
      </w:r>
      <w:r w:rsidR="001E372D">
        <w:t>e</w:t>
      </w:r>
      <w:r>
        <w:t xml:space="preserve"> </w:t>
      </w:r>
      <w:r w:rsidR="001E372D">
        <w:t>last</w:t>
      </w:r>
      <w:r>
        <w:t xml:space="preserve"> four chapters form an epilogue. There are six sections arranged concentrically. The first section deals with a drought, the last </w:t>
      </w:r>
      <w:r w:rsidR="001E372D">
        <w:t>with</w:t>
      </w:r>
      <w:r>
        <w:t xml:space="preserve"> a plague. The second and </w:t>
      </w:r>
      <w:r w:rsidR="001E372D">
        <w:t>fifth</w:t>
      </w:r>
      <w:r>
        <w:t xml:space="preserve"> talk about David’s heroes, and the middle two are psalms of David. They are not placed in chronological order with the rest of the book (note </w:t>
      </w:r>
      <w:r w:rsidR="001E372D">
        <w:t>the</w:t>
      </w:r>
      <w:r>
        <w:t xml:space="preserve"> vague expression</w:t>
      </w:r>
      <w:r w:rsidR="001E372D">
        <w:t xml:space="preserve"> “in the days of David” in 21:1). The last section is climatic, describing the events leading to the purchase of the land on which Solomon would build the temple.</w:t>
      </w:r>
      <w:r w:rsidR="001E372D">
        <w:rPr>
          <w:rStyle w:val="FootnoteReference"/>
        </w:rPr>
        <w:footnoteReference w:id="140"/>
      </w:r>
    </w:p>
    <w:p w14:paraId="13E567DE" w14:textId="57E8E836" w:rsidR="00C865A1" w:rsidRPr="0069325F" w:rsidRDefault="00C865A1" w:rsidP="00C865A1">
      <w:pPr>
        <w:jc w:val="both"/>
        <w:rPr>
          <w:u w:val="single"/>
        </w:rPr>
      </w:pPr>
      <w:r w:rsidRPr="0069325F">
        <w:rPr>
          <w:u w:val="single"/>
        </w:rPr>
        <w:t xml:space="preserve">Gibeonites </w:t>
      </w:r>
    </w:p>
    <w:p w14:paraId="20919910" w14:textId="3063E7DE" w:rsidR="00C865A1" w:rsidRDefault="0069325F" w:rsidP="0069325F">
      <w:r w:rsidRPr="0069325F">
        <w:t xml:space="preserve">See </w:t>
      </w:r>
      <w:r w:rsidRPr="001C74A5">
        <w:rPr>
          <w:u w:val="single"/>
        </w:rPr>
        <w:t>Rizpah</w:t>
      </w:r>
      <w:r w:rsidRPr="0069325F">
        <w:t xml:space="preserve"> under 2 Sam. 3.</w:t>
      </w:r>
      <w:r w:rsidR="001C74A5">
        <w:br w:type="page"/>
      </w:r>
    </w:p>
    <w:p w14:paraId="1E76CA3F" w14:textId="387CB18F" w:rsidR="004E61AE" w:rsidRPr="004E61AE" w:rsidRDefault="004E61AE" w:rsidP="0069325F">
      <w:pPr>
        <w:rPr>
          <w:u w:val="single"/>
        </w:rPr>
      </w:pPr>
      <w:r w:rsidRPr="004E61AE">
        <w:rPr>
          <w:u w:val="single"/>
        </w:rPr>
        <w:lastRenderedPageBreak/>
        <w:t>Rizpah</w:t>
      </w:r>
    </w:p>
    <w:p w14:paraId="176B4752" w14:textId="6E4DFEE7" w:rsidR="004E61AE" w:rsidRDefault="004E61AE" w:rsidP="004E61AE">
      <w:r w:rsidRPr="0069325F">
        <w:t xml:space="preserve">See </w:t>
      </w:r>
      <w:r w:rsidRPr="001C74A5">
        <w:rPr>
          <w:u w:val="single"/>
        </w:rPr>
        <w:t>Rizpah</w:t>
      </w:r>
      <w:r w:rsidRPr="0069325F">
        <w:t xml:space="preserve"> under 2 Sam</w:t>
      </w:r>
      <w:r w:rsidR="007110A6">
        <w:t>.</w:t>
      </w:r>
      <w:r w:rsidRPr="0069325F">
        <w:t xml:space="preserve"> 3. </w:t>
      </w:r>
    </w:p>
    <w:p w14:paraId="03BA26B3" w14:textId="79D5FF62" w:rsidR="004E61AE" w:rsidRPr="00623CFF" w:rsidRDefault="00623CFF" w:rsidP="0069325F">
      <w:pPr>
        <w:rPr>
          <w:u w:val="single"/>
        </w:rPr>
      </w:pPr>
      <w:r w:rsidRPr="00623CFF">
        <w:rPr>
          <w:u w:val="single"/>
        </w:rPr>
        <w:t>Giants</w:t>
      </w:r>
    </w:p>
    <w:p w14:paraId="6AEAB169" w14:textId="504B589F" w:rsidR="00A0791B" w:rsidRDefault="000D2F82" w:rsidP="0069325F">
      <w:r>
        <w:t>Second</w:t>
      </w:r>
      <w:r w:rsidR="00452CE2">
        <w:t xml:space="preserve"> Samuel 21:15</w:t>
      </w:r>
      <w:r w:rsidR="00897512">
        <w:t xml:space="preserve">-22 is interesting as it recounts four fights that David’s men had with giants. </w:t>
      </w:r>
      <w:r w:rsidR="00CC3397">
        <w:t>The giants (</w:t>
      </w:r>
      <w:r w:rsidR="00CC3397" w:rsidRPr="00CC3397">
        <w:rPr>
          <w:i/>
          <w:iCs/>
        </w:rPr>
        <w:t>Rapha</w:t>
      </w:r>
      <w:r w:rsidR="00CC3397">
        <w:t>)</w:t>
      </w:r>
      <w:r w:rsidR="00FA6D0C">
        <w:t xml:space="preserve"> may be connected to the pre-Israelite inhabitants of Canaan</w:t>
      </w:r>
      <w:r w:rsidR="001D60B5">
        <w:t>, who are</w:t>
      </w:r>
      <w:r w:rsidR="00FA6D0C">
        <w:t xml:space="preserve"> called the Rephaim.</w:t>
      </w:r>
      <w:r w:rsidR="00FA6D0C">
        <w:rPr>
          <w:rStyle w:val="FootnoteReference"/>
        </w:rPr>
        <w:footnoteReference w:id="141"/>
      </w:r>
      <w:r w:rsidR="00E41674">
        <w:t xml:space="preserve"> </w:t>
      </w:r>
      <w:r w:rsidR="0006272F">
        <w:t>McCarter understands them as “</w:t>
      </w:r>
      <w:r w:rsidR="00047C60">
        <w:t>votaries of Rapha,”</w:t>
      </w:r>
      <w:r w:rsidR="00047C60">
        <w:rPr>
          <w:rStyle w:val="FootnoteReference"/>
        </w:rPr>
        <w:footnoteReference w:id="142"/>
      </w:r>
      <w:r w:rsidR="00047C60">
        <w:t xml:space="preserve"> which means that Ishbi-Benob and the others were members of “an elite military unit devoted to a pagan god.”</w:t>
      </w:r>
      <w:r w:rsidR="00722203">
        <w:rPr>
          <w:rStyle w:val="FootnoteReference"/>
        </w:rPr>
        <w:footnoteReference w:id="143"/>
      </w:r>
      <w:r w:rsidR="00047C60">
        <w:t xml:space="preserve"> </w:t>
      </w:r>
    </w:p>
    <w:p w14:paraId="20C19282" w14:textId="2AF12D10" w:rsidR="00C60D2E" w:rsidRPr="003B5723" w:rsidRDefault="00C60D2E" w:rsidP="0069325F">
      <w:pPr>
        <w:rPr>
          <w:u w:val="single"/>
        </w:rPr>
      </w:pPr>
      <w:r w:rsidRPr="003B5723">
        <w:rPr>
          <w:u w:val="single"/>
        </w:rPr>
        <w:t>Goliath</w:t>
      </w:r>
    </w:p>
    <w:p w14:paraId="08E1AFE6" w14:textId="336C9D31" w:rsidR="00C60D2E" w:rsidRDefault="003B5723" w:rsidP="0069325F">
      <w:r>
        <w:t xml:space="preserve">See </w:t>
      </w:r>
      <w:r w:rsidR="001C74A5" w:rsidRPr="001C74A5">
        <w:rPr>
          <w:u w:val="single"/>
        </w:rPr>
        <w:t>Goliath</w:t>
      </w:r>
      <w:r>
        <w:t xml:space="preserve"> under 1 Sam. 17. </w:t>
      </w:r>
    </w:p>
    <w:p w14:paraId="48F5F083" w14:textId="73D92C54" w:rsidR="003B5723" w:rsidRPr="005A24CE" w:rsidRDefault="003B5723" w:rsidP="0069325F">
      <w:pPr>
        <w:rPr>
          <w:i/>
          <w:iCs/>
        </w:rPr>
      </w:pPr>
      <w:r w:rsidRPr="005A24CE">
        <w:rPr>
          <w:i/>
          <w:iCs/>
        </w:rPr>
        <w:t>2 Sam</w:t>
      </w:r>
      <w:r w:rsidR="00A25E65">
        <w:rPr>
          <w:i/>
          <w:iCs/>
        </w:rPr>
        <w:t>.</w:t>
      </w:r>
      <w:r w:rsidRPr="005A24CE">
        <w:rPr>
          <w:i/>
          <w:iCs/>
        </w:rPr>
        <w:t xml:space="preserve"> 22</w:t>
      </w:r>
    </w:p>
    <w:p w14:paraId="37898C0E" w14:textId="77777777" w:rsidR="005B51F6" w:rsidRPr="005B51F6" w:rsidRDefault="005B51F6" w:rsidP="0069325F">
      <w:pPr>
        <w:rPr>
          <w:u w:val="single"/>
        </w:rPr>
      </w:pPr>
      <w:r w:rsidRPr="005B51F6">
        <w:rPr>
          <w:u w:val="single"/>
        </w:rPr>
        <w:t>Psalm</w:t>
      </w:r>
    </w:p>
    <w:p w14:paraId="7B91711B" w14:textId="4C257177" w:rsidR="003B5723" w:rsidRDefault="00197E28" w:rsidP="0069325F">
      <w:r>
        <w:t xml:space="preserve">David’s psalm in 2 Samuel 22 clearly </w:t>
      </w:r>
      <w:r w:rsidR="00036A18">
        <w:t>relate</w:t>
      </w:r>
      <w:r w:rsidR="000D2F82">
        <w:t>s</w:t>
      </w:r>
      <w:r w:rsidR="00036A18">
        <w:t xml:space="preserve"> to Psalm 18. While the two psalms are </w:t>
      </w:r>
      <w:r w:rsidR="005202D2">
        <w:t xml:space="preserve">quite similar, they were intended for different functions. “Whereas Psalm 18 was intended for hymnic use in </w:t>
      </w:r>
      <w:r w:rsidR="00AE04EB">
        <w:t>public</w:t>
      </w:r>
      <w:r w:rsidR="005202D2">
        <w:t xml:space="preserve"> worship</w:t>
      </w:r>
      <w:r w:rsidR="00DB41A8">
        <w:t>, 2 Sam</w:t>
      </w:r>
      <w:r w:rsidR="000D2F82">
        <w:t>uel</w:t>
      </w:r>
      <w:r w:rsidR="00DB41A8">
        <w:t xml:space="preserve"> 22:1-51 was intended to reveal the religious core of Israel’s most revered king.</w:t>
      </w:r>
      <w:r w:rsidR="00B661B6">
        <w:t>”</w:t>
      </w:r>
      <w:r w:rsidR="00B661B6">
        <w:rPr>
          <w:rStyle w:val="FootnoteReference"/>
        </w:rPr>
        <w:footnoteReference w:id="144"/>
      </w:r>
      <w:r w:rsidR="00DB41A8">
        <w:t xml:space="preserve"> </w:t>
      </w:r>
      <w:r w:rsidR="00AE04EB">
        <w:t xml:space="preserve">Interestingly, </w:t>
      </w:r>
      <w:r w:rsidR="001D2410">
        <w:t>2 Samuel 22 is the longest quotation attributed to David (365 words in Hebrew</w:t>
      </w:r>
      <w:r w:rsidR="00004CFE">
        <w:t>)</w:t>
      </w:r>
      <w:r w:rsidR="001D2410">
        <w:t>, and Psalm 18 is the longest psalm attributed to David.</w:t>
      </w:r>
      <w:r w:rsidR="00004CFE">
        <w:t xml:space="preserve"> (376 words)</w:t>
      </w:r>
      <w:r w:rsidR="00940E44">
        <w:rPr>
          <w:rStyle w:val="FootnoteReference"/>
        </w:rPr>
        <w:footnoteReference w:id="145"/>
      </w:r>
    </w:p>
    <w:p w14:paraId="41C89893" w14:textId="249E9C26" w:rsidR="005B51F6" w:rsidRPr="005A24CE" w:rsidRDefault="00243D9C" w:rsidP="0069325F">
      <w:pPr>
        <w:rPr>
          <w:i/>
          <w:iCs/>
        </w:rPr>
      </w:pPr>
      <w:r w:rsidRPr="005A24CE">
        <w:rPr>
          <w:i/>
          <w:iCs/>
        </w:rPr>
        <w:t>2 Sam</w:t>
      </w:r>
      <w:r w:rsidR="00A25E65">
        <w:rPr>
          <w:i/>
          <w:iCs/>
        </w:rPr>
        <w:t>.</w:t>
      </w:r>
      <w:r w:rsidRPr="005A24CE">
        <w:rPr>
          <w:i/>
          <w:iCs/>
        </w:rPr>
        <w:t xml:space="preserve"> 23</w:t>
      </w:r>
    </w:p>
    <w:p w14:paraId="7847CD07" w14:textId="72FE65C4" w:rsidR="00243D9C" w:rsidRPr="00E8044D" w:rsidRDefault="00243D9C" w:rsidP="0069325F">
      <w:pPr>
        <w:rPr>
          <w:u w:val="single"/>
        </w:rPr>
      </w:pPr>
      <w:r w:rsidRPr="00E8044D">
        <w:rPr>
          <w:u w:val="single"/>
        </w:rPr>
        <w:t>Mighty Men</w:t>
      </w:r>
    </w:p>
    <w:p w14:paraId="359EFD7F" w14:textId="79E82FCC" w:rsidR="00243D9C" w:rsidRDefault="00D46851" w:rsidP="0069325F">
      <w:r>
        <w:t>Sziks</w:t>
      </w:r>
      <w:r w:rsidR="00585569">
        <w:t>zai offers a helpful overview of “mighty men” in the Old Testament:</w:t>
      </w:r>
    </w:p>
    <w:p w14:paraId="65AC9F84" w14:textId="4C2DB0E9" w:rsidR="00585569" w:rsidRPr="0069325F" w:rsidRDefault="00585569" w:rsidP="00D34F91">
      <w:pPr>
        <w:ind w:left="720"/>
      </w:pPr>
      <w:r>
        <w:t>The designation accorded to proud, bold, and strong heroes</w:t>
      </w:r>
      <w:r w:rsidR="009A22F4">
        <w:t xml:space="preserve">…. </w:t>
      </w:r>
      <w:r w:rsidR="008A588F">
        <w:t xml:space="preserve">It refers to </w:t>
      </w:r>
      <w:r w:rsidR="00D34F91">
        <w:t>foreigners</w:t>
      </w:r>
      <w:r w:rsidR="008A588F">
        <w:t xml:space="preserve"> (Josh. 10:2) as well as to Israelites (II Sam</w:t>
      </w:r>
      <w:r w:rsidR="001E066F">
        <w:t xml:space="preserve">. 17:8), but it is also a technical term for the </w:t>
      </w:r>
      <w:r w:rsidR="00D34F91">
        <w:t>mercenaries</w:t>
      </w:r>
      <w:r w:rsidR="001E066F">
        <w:t xml:space="preserve"> and warriors of David. This host of mercenaries included the Cherethites and the Pele</w:t>
      </w:r>
      <w:r w:rsidR="00E665A6">
        <w:t>t</w:t>
      </w:r>
      <w:r w:rsidR="001E066F">
        <w:t>hi</w:t>
      </w:r>
      <w:r w:rsidR="00701D18">
        <w:t>tes (I Kings 1:38) and the Gittites (II Sam. 15:18</w:t>
      </w:r>
      <w:r w:rsidR="00D34F91">
        <w:t>) and</w:t>
      </w:r>
      <w:r w:rsidR="00701D18">
        <w:t xml:space="preserve"> were led by Joa</w:t>
      </w:r>
      <w:r w:rsidR="00D34F91">
        <w:t>b (II Sam. 10:7</w:t>
      </w:r>
      <w:r w:rsidR="0090489E">
        <w:t>)</w:t>
      </w:r>
      <w:r w:rsidR="00D34F91">
        <w:t xml:space="preserve"> and Benaiah (1 Kings 1:10). The heroic exploits of the “three mighty men” of David and those of “the thirty” were preserved in the biblical records (II Sam. 23:8-39).</w:t>
      </w:r>
      <w:r w:rsidR="00412BDE">
        <w:rPr>
          <w:rStyle w:val="FootnoteReference"/>
        </w:rPr>
        <w:footnoteReference w:id="146"/>
      </w:r>
    </w:p>
    <w:p w14:paraId="568703F7" w14:textId="726E7CC1" w:rsidR="00F811DC" w:rsidRPr="00F811DC" w:rsidRDefault="00F811DC" w:rsidP="00E8044D">
      <w:pPr>
        <w:rPr>
          <w:u w:val="single"/>
        </w:rPr>
      </w:pPr>
      <w:r w:rsidRPr="00F811DC">
        <w:rPr>
          <w:u w:val="single"/>
        </w:rPr>
        <w:lastRenderedPageBreak/>
        <w:t>The Three and The Thirty</w:t>
      </w:r>
    </w:p>
    <w:p w14:paraId="13FD9AD1" w14:textId="1BA6A17D" w:rsidR="00F811DC" w:rsidRDefault="001C74A5" w:rsidP="00E8044D">
      <w:r>
        <w:t>Second</w:t>
      </w:r>
      <w:r w:rsidR="005F00D3">
        <w:t xml:space="preserve"> Samuel 23 list</w:t>
      </w:r>
      <w:r w:rsidR="007110A6">
        <w:t>s</w:t>
      </w:r>
      <w:r w:rsidR="005F00D3">
        <w:t xml:space="preserve"> two groups of David’s fighting men. The first group</w:t>
      </w:r>
      <w:r w:rsidR="004D2CC5">
        <w:t>, called the three, consist</w:t>
      </w:r>
      <w:r w:rsidR="007110A6">
        <w:t>s</w:t>
      </w:r>
      <w:r w:rsidR="004D2CC5">
        <w:t xml:space="preserve"> of Josheb-bass</w:t>
      </w:r>
      <w:r w:rsidR="00903F5C">
        <w:t>h</w:t>
      </w:r>
      <w:r w:rsidR="004D2CC5">
        <w:t>ebeth</w:t>
      </w:r>
      <w:r w:rsidR="00903F5C">
        <w:t>, Eleazar, and Shammah (v</w:t>
      </w:r>
      <w:r w:rsidR="00DA5330">
        <w:t>v</w:t>
      </w:r>
      <w:r w:rsidR="00903F5C">
        <w:t xml:space="preserve">. </w:t>
      </w:r>
      <w:r w:rsidR="00DA5330">
        <w:t xml:space="preserve">8-12). The other </w:t>
      </w:r>
      <w:r w:rsidR="00630E66">
        <w:t>group,</w:t>
      </w:r>
      <w:r w:rsidR="00DA5330">
        <w:t xml:space="preserve"> called the thirty, </w:t>
      </w:r>
      <w:r w:rsidR="00AD2C7A">
        <w:t>i</w:t>
      </w:r>
      <w:r w:rsidR="00DA5330">
        <w:t xml:space="preserve">s actually comprised of </w:t>
      </w:r>
      <w:r w:rsidR="00FA6606">
        <w:t xml:space="preserve">thirty-four names (vv. 18-29). </w:t>
      </w:r>
      <w:r w:rsidR="00D067A8">
        <w:t>This could mean that</w:t>
      </w:r>
      <w:r w:rsidR="00DA3D75">
        <w:t>,</w:t>
      </w:r>
      <w:r w:rsidR="00D067A8">
        <w:t xml:space="preserve"> </w:t>
      </w:r>
    </w:p>
    <w:p w14:paraId="0BB4AEFA" w14:textId="4923FAA0" w:rsidR="00D067A8" w:rsidRDefault="00D067A8" w:rsidP="00D067A8">
      <w:pPr>
        <w:pStyle w:val="ListParagraph"/>
        <w:numPr>
          <w:ilvl w:val="0"/>
          <w:numId w:val="32"/>
        </w:numPr>
      </w:pPr>
      <w:r>
        <w:t>Thirty was a round number</w:t>
      </w:r>
      <w:r w:rsidR="00FE709F">
        <w:t>.</w:t>
      </w:r>
    </w:p>
    <w:p w14:paraId="22BDE04C" w14:textId="14B399E7" w:rsidR="00D067A8" w:rsidRDefault="00887F83" w:rsidP="00D067A8">
      <w:pPr>
        <w:pStyle w:val="ListParagraph"/>
        <w:numPr>
          <w:ilvl w:val="0"/>
          <w:numId w:val="32"/>
        </w:numPr>
      </w:pPr>
      <w:r>
        <w:t xml:space="preserve">The group began with 30 members but eventually grew to </w:t>
      </w:r>
      <w:r w:rsidR="00FE709F">
        <w:t>34 but</w:t>
      </w:r>
      <w:r>
        <w:t xml:space="preserve"> kept the name “the thirty.” </w:t>
      </w:r>
    </w:p>
    <w:p w14:paraId="207F47C4" w14:textId="0F482616" w:rsidR="00887F83" w:rsidRDefault="000A7736" w:rsidP="00D067A8">
      <w:pPr>
        <w:pStyle w:val="ListParagraph"/>
        <w:numPr>
          <w:ilvl w:val="0"/>
          <w:numId w:val="32"/>
        </w:numPr>
      </w:pPr>
      <w:r>
        <w:t xml:space="preserve">The group remained at 30, but when someone </w:t>
      </w:r>
      <w:r w:rsidR="00FE709F">
        <w:t>died,</w:t>
      </w:r>
      <w:r>
        <w:t xml:space="preserve"> they were replaced by other names on the list. </w:t>
      </w:r>
      <w:r w:rsidR="006546ED">
        <w:t>A parallel list can be found in 1 Chr</w:t>
      </w:r>
      <w:r w:rsidR="00AC483A">
        <w:t>onicles</w:t>
      </w:r>
      <w:r w:rsidR="006546ED">
        <w:t xml:space="preserve"> 11:10-47. That list includes 16 additional names, </w:t>
      </w:r>
      <w:r w:rsidR="00FE709F">
        <w:t>likely because men were</w:t>
      </w:r>
      <w:r w:rsidR="007C1AB3">
        <w:t>, in fact,</w:t>
      </w:r>
      <w:r w:rsidR="00FE709F">
        <w:t xml:space="preserve"> added to “the thirty” when others died.</w:t>
      </w:r>
      <w:r w:rsidR="00FE709F">
        <w:rPr>
          <w:rStyle w:val="FootnoteReference"/>
        </w:rPr>
        <w:footnoteReference w:id="147"/>
      </w:r>
    </w:p>
    <w:p w14:paraId="6EBE65D5" w14:textId="6D867A24" w:rsidR="00E8044D" w:rsidRPr="005A24CE" w:rsidRDefault="00560E66" w:rsidP="006655BF">
      <w:pPr>
        <w:rPr>
          <w:i/>
          <w:iCs/>
        </w:rPr>
      </w:pPr>
      <w:r w:rsidRPr="005A24CE">
        <w:rPr>
          <w:i/>
          <w:iCs/>
        </w:rPr>
        <w:t>2 Sam</w:t>
      </w:r>
      <w:r w:rsidR="00A25E65">
        <w:rPr>
          <w:i/>
          <w:iCs/>
        </w:rPr>
        <w:t>.</w:t>
      </w:r>
      <w:r w:rsidRPr="005A24CE">
        <w:rPr>
          <w:i/>
          <w:iCs/>
        </w:rPr>
        <w:t xml:space="preserve"> 24</w:t>
      </w:r>
    </w:p>
    <w:p w14:paraId="04596931" w14:textId="77777777" w:rsidR="00564FC4" w:rsidRPr="00564FC4" w:rsidRDefault="00564FC4" w:rsidP="006655BF">
      <w:pPr>
        <w:rPr>
          <w:u w:val="single"/>
        </w:rPr>
      </w:pPr>
      <w:r w:rsidRPr="00564FC4">
        <w:rPr>
          <w:u w:val="single"/>
        </w:rPr>
        <w:t>The Census</w:t>
      </w:r>
    </w:p>
    <w:p w14:paraId="07112312" w14:textId="6D204A67" w:rsidR="00560E66" w:rsidRDefault="00AC483A" w:rsidP="006655BF">
      <w:r>
        <w:t>Second</w:t>
      </w:r>
      <w:r w:rsidR="00AD5B7D">
        <w:t xml:space="preserve"> Samuel 24 </w:t>
      </w:r>
      <w:r w:rsidR="00994938">
        <w:t>states that the LORD was angry with Israel, though we</w:t>
      </w:r>
      <w:r w:rsidR="007C1AB3">
        <w:t>, as readers,</w:t>
      </w:r>
      <w:r w:rsidR="00994938">
        <w:t xml:space="preserve"> are not given details about why the LORD was angry. </w:t>
      </w:r>
      <w:r w:rsidR="004F7D58">
        <w:t xml:space="preserve">David’s desire to number the fighting men showed a shift in David’s “object of faith—a </w:t>
      </w:r>
      <w:r w:rsidR="00E00295">
        <w:t>shift</w:t>
      </w:r>
      <w:r w:rsidR="004F7D58">
        <w:t xml:space="preserve"> from reliance on Yahweh to win battles to a reliance on access to </w:t>
      </w:r>
      <w:r w:rsidR="00E00295">
        <w:t>military might (2 Sam. 24:3).”</w:t>
      </w:r>
      <w:r w:rsidR="00E00295">
        <w:rPr>
          <w:rStyle w:val="FootnoteReference"/>
        </w:rPr>
        <w:footnoteReference w:id="148"/>
      </w:r>
    </w:p>
    <w:p w14:paraId="2CD6FB31" w14:textId="27648697" w:rsidR="00564FC4" w:rsidRDefault="002D2E76" w:rsidP="006655BF">
      <w:r>
        <w:t xml:space="preserve">This text parallels 1 Chronicles 21:1, which asserts that Satan </w:t>
      </w:r>
      <w:r w:rsidR="00F848C2">
        <w:t xml:space="preserve">incited David to take the census. How should we deal with this seeming discrepancy? </w:t>
      </w:r>
      <w:r w:rsidR="004A435D">
        <w:t>“</w:t>
      </w:r>
      <w:r w:rsidR="00F848C2">
        <w:t>Traditionally, Jewish and Christian interpreters have harmonized these two statements by asserting that God’s permissive action is expressed in 2 Samuel 24:1</w:t>
      </w:r>
      <w:r w:rsidR="004A435D">
        <w:t xml:space="preserve"> and Satan’s instrumentality is the emphasis of the Chronicles parallel.”</w:t>
      </w:r>
      <w:r w:rsidR="004A435D">
        <w:rPr>
          <w:rStyle w:val="FootnoteReference"/>
        </w:rPr>
        <w:footnoteReference w:id="149"/>
      </w:r>
    </w:p>
    <w:p w14:paraId="29F6B040" w14:textId="28F53E87" w:rsidR="00847753" w:rsidRPr="00847753" w:rsidRDefault="00847753" w:rsidP="006655BF">
      <w:pPr>
        <w:rPr>
          <w:u w:val="single"/>
        </w:rPr>
      </w:pPr>
      <w:r w:rsidRPr="00847753">
        <w:rPr>
          <w:u w:val="single"/>
        </w:rPr>
        <w:t>The Plague</w:t>
      </w:r>
    </w:p>
    <w:p w14:paraId="53E9D68A" w14:textId="64A1F887" w:rsidR="00847753" w:rsidRDefault="00432125" w:rsidP="006655BF">
      <w:r>
        <w:t>Gad</w:t>
      </w:r>
      <w:r w:rsidR="007C1AB3">
        <w:t>, the prophet,</w:t>
      </w:r>
      <w:r>
        <w:t xml:space="preserve"> </w:t>
      </w:r>
      <w:r w:rsidR="00E52635">
        <w:t>told</w:t>
      </w:r>
      <w:r>
        <w:t xml:space="preserve"> David that </w:t>
      </w:r>
      <w:r w:rsidR="007620CA">
        <w:t xml:space="preserve">judgment was coming. David could choose </w:t>
      </w:r>
      <w:r w:rsidR="00E52635">
        <w:t>three</w:t>
      </w:r>
      <w:r w:rsidR="007620CA">
        <w:t xml:space="preserve"> years of famine, three months of overwhelming defeat on the battlefield</w:t>
      </w:r>
      <w:r w:rsidR="00AC483A">
        <w:t>,</w:t>
      </w:r>
      <w:r w:rsidR="007620CA">
        <w:t xml:space="preserve"> or three days of </w:t>
      </w:r>
      <w:r w:rsidR="00E52635">
        <w:t>a plague</w:t>
      </w:r>
      <w:r w:rsidR="00AC483A">
        <w:t xml:space="preserve"> in</w:t>
      </w:r>
      <w:r w:rsidR="00E52635">
        <w:t xml:space="preserve"> the land. David chose the latter. Seventy thousand people died in Israel as a result of the plague.</w:t>
      </w:r>
      <w:r w:rsidR="00E52635">
        <w:rPr>
          <w:rStyle w:val="FootnoteReference"/>
        </w:rPr>
        <w:footnoteReference w:id="150"/>
      </w:r>
    </w:p>
    <w:p w14:paraId="65207DAE" w14:textId="61E72D61" w:rsidR="00E52635" w:rsidRPr="00ED3DBE" w:rsidRDefault="008F3CAD" w:rsidP="006655BF">
      <w:pPr>
        <w:rPr>
          <w:u w:val="single"/>
        </w:rPr>
      </w:pPr>
      <w:r w:rsidRPr="00ED3DBE">
        <w:rPr>
          <w:u w:val="single"/>
        </w:rPr>
        <w:t>Gad</w:t>
      </w:r>
    </w:p>
    <w:p w14:paraId="2E0FDA9B" w14:textId="78760056" w:rsidR="01EB8908" w:rsidRPr="00AE3172" w:rsidRDefault="00242BF1" w:rsidP="00AE3172">
      <w:r>
        <w:t xml:space="preserve">Gad was a </w:t>
      </w:r>
      <w:r w:rsidR="003B37F9">
        <w:t>prophet who joined David when he was in the stronghold.</w:t>
      </w:r>
      <w:r w:rsidR="00894FDB">
        <w:t xml:space="preserve"> </w:t>
      </w:r>
      <w:r w:rsidR="009F497D">
        <w:t>Second</w:t>
      </w:r>
      <w:r w:rsidR="00096ECA">
        <w:t xml:space="preserve"> Chronicles 29:25 </w:t>
      </w:r>
      <w:r w:rsidR="00C25599">
        <w:t>associated</w:t>
      </w:r>
      <w:r w:rsidR="00096ECA">
        <w:t xml:space="preserve"> Gad </w:t>
      </w:r>
      <w:r w:rsidR="00C25599">
        <w:t>with</w:t>
      </w:r>
      <w:r w:rsidR="00096ECA">
        <w:t xml:space="preserve"> the arrangements of the music in the House of the Lord. He </w:t>
      </w:r>
      <w:r w:rsidR="00A21C17">
        <w:t>wa</w:t>
      </w:r>
      <w:r w:rsidR="00096ECA">
        <w:t xml:space="preserve">s also </w:t>
      </w:r>
      <w:r w:rsidR="00A167C0">
        <w:t xml:space="preserve">connected to </w:t>
      </w:r>
      <w:r w:rsidR="00424D72">
        <w:t>authorship of parts of 1-2 Samuel.</w:t>
      </w:r>
      <w:r w:rsidR="00424D72">
        <w:rPr>
          <w:rStyle w:val="FootnoteReference"/>
        </w:rPr>
        <w:footnoteReference w:id="151"/>
      </w:r>
    </w:p>
    <w:p w14:paraId="3F2A0CAF" w14:textId="2A8256A7" w:rsidR="00AD1E8E" w:rsidRPr="00FA62F0" w:rsidRDefault="00DB6CD6" w:rsidP="00A52BDD">
      <w:pPr>
        <w:jc w:val="center"/>
        <w:rPr>
          <w:i/>
          <w:iCs/>
        </w:rPr>
      </w:pPr>
      <w:r w:rsidRPr="00FA62F0">
        <w:rPr>
          <w:i/>
          <w:iCs/>
        </w:rPr>
        <w:lastRenderedPageBreak/>
        <w:t>Appendix 1</w:t>
      </w:r>
    </w:p>
    <w:p w14:paraId="7E584687" w14:textId="34143D83" w:rsidR="00DB6CD6" w:rsidRDefault="00DB6CD6" w:rsidP="01EB8908">
      <w:pPr>
        <w:jc w:val="center"/>
        <w:rPr>
          <w:b/>
          <w:bCs/>
        </w:rPr>
      </w:pPr>
      <w:r w:rsidRPr="01EB8908">
        <w:rPr>
          <w:b/>
          <w:bCs/>
        </w:rPr>
        <w:t xml:space="preserve"> Timeline</w:t>
      </w:r>
      <w:r w:rsidR="2507AA25" w:rsidRPr="01EB8908">
        <w:rPr>
          <w:b/>
          <w:bCs/>
        </w:rPr>
        <w:t xml:space="preserve"> for the Historical Books</w:t>
      </w:r>
    </w:p>
    <w:p w14:paraId="1B96B383" w14:textId="35ECC9FC" w:rsidR="00DB6CD6" w:rsidRDefault="00DB6CD6" w:rsidP="00DB6CD6">
      <w:r>
        <w:t xml:space="preserve">1406 [or 1220] </w:t>
      </w:r>
      <w:r>
        <w:tab/>
      </w:r>
      <w:r>
        <w:tab/>
        <w:t>Moses’ death; Israel’s entry into Canaan under Joshua</w:t>
      </w:r>
    </w:p>
    <w:p w14:paraId="7F7175D6" w14:textId="7993FE9C" w:rsidR="00DB6CD6" w:rsidRDefault="00DB6CD6" w:rsidP="00DB6CD6">
      <w:r>
        <w:t>1375 [or 1210]</w:t>
      </w:r>
      <w:r>
        <w:tab/>
      </w:r>
      <w:r>
        <w:tab/>
      </w:r>
      <w:r w:rsidR="00EC1AFC">
        <w:tab/>
      </w:r>
      <w:r>
        <w:t>Joshua’s death</w:t>
      </w:r>
    </w:p>
    <w:p w14:paraId="3EC29D5C" w14:textId="61E614E4" w:rsidR="00DB6CD6" w:rsidRPr="006121BB" w:rsidRDefault="00DB6CD6" w:rsidP="00DB6CD6">
      <w:r>
        <w:t>1375–1055 [or</w:t>
      </w:r>
      <w:r w:rsidR="749C5E5B">
        <w:t xml:space="preserve"> </w:t>
      </w:r>
      <w:r>
        <w:t>1210–1050]</w:t>
      </w:r>
      <w:r>
        <w:tab/>
        <w:t>Period of the judges</w:t>
      </w:r>
    </w:p>
    <w:p w14:paraId="4B1BADC2" w14:textId="3529E9B7" w:rsidR="00DB6CD6" w:rsidRDefault="00DB6CD6" w:rsidP="00DB6CD6">
      <w:r>
        <w:t>1050/42/30–1010</w:t>
      </w:r>
      <w:r>
        <w:tab/>
      </w:r>
      <w:r>
        <w:tab/>
        <w:t>Saul’s reign</w:t>
      </w:r>
    </w:p>
    <w:p w14:paraId="7FE5D56C" w14:textId="1D0FAD9B" w:rsidR="00DB6CD6" w:rsidRDefault="00DB6CD6" w:rsidP="00DB6CD6">
      <w:r>
        <w:t>1010–971</w:t>
      </w:r>
      <w:r>
        <w:tab/>
      </w:r>
      <w:r>
        <w:tab/>
      </w:r>
      <w:r>
        <w:tab/>
        <w:t>David’s reign</w:t>
      </w:r>
    </w:p>
    <w:p w14:paraId="2F398A4B" w14:textId="770702E1" w:rsidR="00DB6CD6" w:rsidRDefault="00DB6CD6" w:rsidP="00DB6CD6">
      <w:r>
        <w:t>971–931</w:t>
      </w:r>
      <w:r>
        <w:tab/>
      </w:r>
      <w:r>
        <w:tab/>
      </w:r>
      <w:r>
        <w:tab/>
        <w:t>Solomon’s reign</w:t>
      </w:r>
    </w:p>
    <w:p w14:paraId="4D7B350A" w14:textId="4E2F58FB" w:rsidR="00DB6CD6" w:rsidRDefault="00DB6CD6" w:rsidP="00DB6CD6">
      <w:r>
        <w:t>931–722</w:t>
      </w:r>
      <w:r>
        <w:tab/>
      </w:r>
      <w:r>
        <w:tab/>
      </w:r>
      <w:r>
        <w:tab/>
        <w:t>Divided kingdom (Israel)—19 kings</w:t>
      </w:r>
    </w:p>
    <w:p w14:paraId="0AAE99A7" w14:textId="70677736" w:rsidR="00DB6CD6" w:rsidRDefault="00DB6CD6" w:rsidP="00DB6CD6">
      <w:r>
        <w:t>722</w:t>
      </w:r>
      <w:r>
        <w:tab/>
      </w:r>
      <w:r>
        <w:tab/>
      </w:r>
      <w:r>
        <w:tab/>
      </w:r>
      <w:r>
        <w:tab/>
        <w:t>Destruction of Samaria by Assyria; Israel’s resettlement</w:t>
      </w:r>
    </w:p>
    <w:p w14:paraId="6749470D" w14:textId="27876239" w:rsidR="00DB6CD6" w:rsidRDefault="00DB6CD6" w:rsidP="00DB6CD6">
      <w:r>
        <w:t>931–586</w:t>
      </w:r>
      <w:r>
        <w:tab/>
      </w:r>
      <w:r>
        <w:tab/>
      </w:r>
      <w:r>
        <w:tab/>
        <w:t>Divided kingdom (Judah)—19 kings, 1 queen</w:t>
      </w:r>
    </w:p>
    <w:p w14:paraId="01379E16" w14:textId="1BDB8307" w:rsidR="00DB6CD6" w:rsidRDefault="00DB6CD6" w:rsidP="00DB6CD6">
      <w:r>
        <w:t>586</w:t>
      </w:r>
      <w:r>
        <w:tab/>
      </w:r>
      <w:r>
        <w:tab/>
      </w:r>
      <w:r>
        <w:tab/>
      </w:r>
      <w:r>
        <w:tab/>
        <w:t xml:space="preserve">Destruction of Jerusalem and </w:t>
      </w:r>
      <w:r w:rsidR="6AFAD344">
        <w:t>T</w:t>
      </w:r>
      <w:r>
        <w:t>emple by Babylon</w:t>
      </w:r>
    </w:p>
    <w:p w14:paraId="4DB855BC" w14:textId="5B5BFBDF" w:rsidR="00DB6CD6" w:rsidRDefault="00DB6CD6" w:rsidP="00DB6CD6">
      <w:r>
        <w:t>586–538</w:t>
      </w:r>
      <w:r>
        <w:tab/>
      </w:r>
      <w:r>
        <w:tab/>
      </w:r>
      <w:r>
        <w:tab/>
        <w:t>Judah’s exile in Babylon</w:t>
      </w:r>
    </w:p>
    <w:p w14:paraId="33BDD96D" w14:textId="07346033" w:rsidR="00DB6CD6" w:rsidRDefault="00DB6CD6" w:rsidP="00DB6CD6">
      <w:r>
        <w:t>561</w:t>
      </w:r>
      <w:r>
        <w:tab/>
      </w:r>
      <w:r>
        <w:tab/>
      </w:r>
      <w:r>
        <w:tab/>
      </w:r>
      <w:r>
        <w:tab/>
        <w:t>Release of King Jehoiachin from prison in Babylon</w:t>
      </w:r>
    </w:p>
    <w:p w14:paraId="154AFE85" w14:textId="6DA5ED24" w:rsidR="00DB6CD6" w:rsidRDefault="00DB6CD6" w:rsidP="00DB6CD6">
      <w:r>
        <w:t>539</w:t>
      </w:r>
      <w:r>
        <w:tab/>
      </w:r>
      <w:r>
        <w:tab/>
      </w:r>
      <w:r>
        <w:tab/>
      </w:r>
      <w:r>
        <w:tab/>
        <w:t>Cyrus II of Persia captures Babylon</w:t>
      </w:r>
    </w:p>
    <w:p w14:paraId="7912F893" w14:textId="30E76F37" w:rsidR="00DB6CD6" w:rsidRDefault="00DB6CD6" w:rsidP="00DB6CD6">
      <w:r>
        <w:t>538</w:t>
      </w:r>
      <w:r>
        <w:tab/>
      </w:r>
      <w:r>
        <w:tab/>
      </w:r>
      <w:r>
        <w:tab/>
      </w:r>
      <w:r>
        <w:tab/>
        <w:t>First return of Jews to Jerusalem under Jeshua and Zerubbabel</w:t>
      </w:r>
    </w:p>
    <w:p w14:paraId="67D70B72" w14:textId="6F719067" w:rsidR="00DB6CD6" w:rsidRDefault="00DB6CD6" w:rsidP="00DB6CD6">
      <w:r>
        <w:t>516</w:t>
      </w:r>
      <w:r>
        <w:tab/>
      </w:r>
      <w:r>
        <w:tab/>
      </w:r>
      <w:r>
        <w:tab/>
      </w:r>
      <w:r>
        <w:tab/>
        <w:t>Temple rebuilding completed</w:t>
      </w:r>
    </w:p>
    <w:p w14:paraId="3FDF11EB" w14:textId="538F2FD0" w:rsidR="00DB6CD6" w:rsidRDefault="00DB6CD6" w:rsidP="00DB6CD6">
      <w:r>
        <w:t>478</w:t>
      </w:r>
      <w:r>
        <w:tab/>
      </w:r>
      <w:r>
        <w:tab/>
      </w:r>
      <w:r>
        <w:tab/>
      </w:r>
      <w:r>
        <w:tab/>
        <w:t>Esther and Mordecai rise in the Persian court</w:t>
      </w:r>
    </w:p>
    <w:p w14:paraId="6BBF47B9" w14:textId="7BF9F78E" w:rsidR="00DB6CD6" w:rsidRDefault="00DB6CD6" w:rsidP="00DB6CD6">
      <w:r>
        <w:t>458</w:t>
      </w:r>
      <w:r>
        <w:tab/>
      </w:r>
      <w:r>
        <w:tab/>
      </w:r>
      <w:r>
        <w:tab/>
      </w:r>
      <w:r>
        <w:tab/>
        <w:t>Ezra’s return to Jerusalem from Babylon</w:t>
      </w:r>
    </w:p>
    <w:p w14:paraId="242F7EDE" w14:textId="4CA6A441" w:rsidR="00DB6CD6" w:rsidRDefault="00DB6CD6" w:rsidP="00DB6CD6">
      <w:r>
        <w:t>445</w:t>
      </w:r>
      <w:r>
        <w:tab/>
      </w:r>
      <w:r>
        <w:tab/>
      </w:r>
      <w:r>
        <w:tab/>
      </w:r>
      <w:r>
        <w:tab/>
        <w:t>Nehemiah’s return to Jerusalem from Babylon</w:t>
      </w:r>
    </w:p>
    <w:p w14:paraId="4D22CB76" w14:textId="5A410BFE" w:rsidR="00DB6CD6" w:rsidRDefault="00DB6CD6" w:rsidP="00DB6CD6">
      <w:r>
        <w:t>445</w:t>
      </w:r>
      <w:r>
        <w:tab/>
      </w:r>
      <w:r>
        <w:tab/>
      </w:r>
      <w:r>
        <w:tab/>
      </w:r>
      <w:r>
        <w:tab/>
        <w:t>Walls of Jerusalem rebuilt</w:t>
      </w:r>
    </w:p>
    <w:p w14:paraId="7773F0B6" w14:textId="10F29BA9" w:rsidR="00AE3172" w:rsidRPr="00EC1AFC" w:rsidRDefault="00DB6CD6" w:rsidP="00AE3172">
      <w:r>
        <w:t>433</w:t>
      </w:r>
      <w:r>
        <w:tab/>
      </w:r>
      <w:r>
        <w:tab/>
      </w:r>
      <w:r>
        <w:tab/>
      </w:r>
      <w:r>
        <w:tab/>
        <w:t>Nehemiah’s visit to Babylon and return to Jerusalem</w:t>
      </w:r>
      <w:r>
        <w:rPr>
          <w:rStyle w:val="FootnoteReference"/>
        </w:rPr>
        <w:footnoteReference w:id="152"/>
      </w:r>
      <w:r w:rsidR="00EC1AFC">
        <w:br w:type="page"/>
      </w:r>
    </w:p>
    <w:p w14:paraId="58E25809" w14:textId="34849A67" w:rsidR="00DB6CD6" w:rsidRPr="00FA62F0" w:rsidRDefault="00DB6CD6" w:rsidP="00FA62F0">
      <w:pPr>
        <w:jc w:val="center"/>
        <w:rPr>
          <w:i/>
          <w:iCs/>
        </w:rPr>
      </w:pPr>
      <w:r w:rsidRPr="00FA62F0">
        <w:rPr>
          <w:i/>
          <w:iCs/>
        </w:rPr>
        <w:lastRenderedPageBreak/>
        <w:t>Appendix 2</w:t>
      </w:r>
    </w:p>
    <w:p w14:paraId="736DF405" w14:textId="77777777" w:rsidR="00DB6CD6" w:rsidRPr="00DE160F" w:rsidRDefault="00DB6CD6" w:rsidP="00DB6CD6">
      <w:pPr>
        <w:jc w:val="center"/>
        <w:rPr>
          <w:b/>
          <w:bCs/>
        </w:rPr>
      </w:pPr>
      <w:r w:rsidRPr="00DE160F">
        <w:rPr>
          <w:b/>
          <w:bCs/>
        </w:rPr>
        <w:t xml:space="preserve">Timeline for the Prophets </w:t>
      </w:r>
    </w:p>
    <w:p w14:paraId="5C3755DB" w14:textId="2C30A51C" w:rsidR="00DB6CD6" w:rsidRPr="00A26E07" w:rsidRDefault="00DB6CD6" w:rsidP="009A22F4">
      <w:pPr>
        <w:rPr>
          <w:b/>
        </w:rPr>
      </w:pPr>
      <w:r w:rsidRPr="00A26E07">
        <w:rPr>
          <w:b/>
        </w:rPr>
        <w:t>The Early Group</w:t>
      </w:r>
    </w:p>
    <w:p w14:paraId="51E59E14" w14:textId="77777777" w:rsidR="00DB6CD6" w:rsidRPr="00A26E07" w:rsidRDefault="00DB6CD6" w:rsidP="009A22F4">
      <w:r w:rsidRPr="00A26E07">
        <w:t xml:space="preserve">Moses </w:t>
      </w:r>
      <w:r w:rsidRPr="00A26E07">
        <w:tab/>
      </w:r>
      <w:r w:rsidRPr="00A26E07">
        <w:tab/>
        <w:t xml:space="preserve">1447or 1225 </w:t>
      </w:r>
      <w:r w:rsidRPr="00A26E07">
        <w:tab/>
      </w:r>
      <w:r w:rsidRPr="00A26E07">
        <w:tab/>
        <w:t>in Egypt</w:t>
      </w:r>
    </w:p>
    <w:p w14:paraId="70EE5834" w14:textId="464A4EAD" w:rsidR="00DB6CD6" w:rsidRPr="00A26E07" w:rsidRDefault="00DB6CD6" w:rsidP="009A22F4">
      <w:r>
        <w:t>Samuel</w:t>
      </w:r>
      <w:r>
        <w:tab/>
        <w:t xml:space="preserve"> </w:t>
      </w:r>
      <w:r w:rsidR="00EC1AFC">
        <w:tab/>
      </w:r>
      <w:r>
        <w:t>1100</w:t>
      </w:r>
      <w:r>
        <w:tab/>
      </w:r>
      <w:r>
        <w:tab/>
      </w:r>
      <w:r>
        <w:tab/>
      </w:r>
      <w:r w:rsidR="00A64316">
        <w:t xml:space="preserve">in </w:t>
      </w:r>
      <w:r>
        <w:t>Israel</w:t>
      </w:r>
    </w:p>
    <w:p w14:paraId="02BAB529" w14:textId="7E5934E9" w:rsidR="00DB6CD6" w:rsidRPr="00A26E07" w:rsidRDefault="00DB6CD6" w:rsidP="009A22F4">
      <w:r w:rsidRPr="00A26E07">
        <w:t xml:space="preserve">Elijah </w:t>
      </w:r>
      <w:r w:rsidRPr="00A26E07">
        <w:tab/>
      </w:r>
      <w:r w:rsidRPr="00A26E07">
        <w:tab/>
        <w:t>870</w:t>
      </w:r>
      <w:r w:rsidRPr="00A26E07">
        <w:tab/>
      </w:r>
      <w:r w:rsidRPr="00A26E07">
        <w:tab/>
      </w:r>
      <w:r w:rsidRPr="00A26E07">
        <w:tab/>
      </w:r>
      <w:r w:rsidR="00A64316" w:rsidRPr="00A26E07">
        <w:t xml:space="preserve">in </w:t>
      </w:r>
      <w:r w:rsidRPr="00A26E07">
        <w:t>Israel</w:t>
      </w:r>
    </w:p>
    <w:p w14:paraId="4FC49985" w14:textId="704F9426" w:rsidR="00DB6CD6" w:rsidRPr="00A26E07" w:rsidRDefault="00DB6CD6" w:rsidP="009A22F4">
      <w:r w:rsidRPr="00A26E07">
        <w:t xml:space="preserve">Elisha </w:t>
      </w:r>
      <w:r w:rsidRPr="00A26E07">
        <w:tab/>
      </w:r>
      <w:r w:rsidRPr="00A26E07">
        <w:tab/>
        <w:t>850</w:t>
      </w:r>
      <w:r w:rsidRPr="00A26E07">
        <w:tab/>
      </w:r>
      <w:r w:rsidRPr="00A26E07">
        <w:tab/>
      </w:r>
      <w:r w:rsidRPr="00A26E07">
        <w:tab/>
      </w:r>
      <w:r w:rsidR="00A64316" w:rsidRPr="00A26E07">
        <w:t xml:space="preserve">in </w:t>
      </w:r>
      <w:r w:rsidRPr="00A26E07">
        <w:t>Israel</w:t>
      </w:r>
    </w:p>
    <w:p w14:paraId="5D88EECE" w14:textId="7990E675" w:rsidR="00C20E39" w:rsidRPr="00A26E07" w:rsidRDefault="00C20E39" w:rsidP="009A22F4">
      <w:r w:rsidRPr="00A26E07">
        <w:t xml:space="preserve">Joel </w:t>
      </w:r>
      <w:r w:rsidRPr="00A26E07">
        <w:tab/>
        <w:t xml:space="preserve">  </w:t>
      </w:r>
      <w:r w:rsidR="00EC1AFC">
        <w:tab/>
      </w:r>
      <w:r>
        <w:t>835-820</w:t>
      </w:r>
      <w:r>
        <w:tab/>
      </w:r>
      <w:r>
        <w:tab/>
      </w:r>
      <w:r w:rsidR="00A64316" w:rsidRPr="00A26E07">
        <w:t xml:space="preserve">in </w:t>
      </w:r>
      <w:r w:rsidRPr="00A26E07">
        <w:t>Jerusalem</w:t>
      </w:r>
    </w:p>
    <w:p w14:paraId="444262ED" w14:textId="2EC150FF" w:rsidR="00DB6CD6" w:rsidRPr="00A26E07" w:rsidRDefault="00DB6CD6" w:rsidP="009A22F4">
      <w:r w:rsidRPr="00A26E07">
        <w:t>Jonah</w:t>
      </w:r>
      <w:r w:rsidRPr="00A26E07">
        <w:tab/>
      </w:r>
      <w:r w:rsidRPr="00A26E07">
        <w:tab/>
        <w:t>800</w:t>
      </w:r>
      <w:r w:rsidRPr="00A26E07">
        <w:tab/>
      </w:r>
      <w:r w:rsidRPr="00A26E07">
        <w:tab/>
      </w:r>
      <w:r w:rsidRPr="00A26E07">
        <w:tab/>
      </w:r>
      <w:r w:rsidR="00A64316" w:rsidRPr="00A26E07">
        <w:t xml:space="preserve">in </w:t>
      </w:r>
      <w:r w:rsidRPr="00A26E07">
        <w:t>Israel</w:t>
      </w:r>
    </w:p>
    <w:p w14:paraId="41DA0640" w14:textId="77777777" w:rsidR="00DB6CD6" w:rsidRPr="00A26E07" w:rsidRDefault="00DB6CD6" w:rsidP="009A22F4">
      <w:pPr>
        <w:rPr>
          <w:b/>
        </w:rPr>
      </w:pPr>
      <w:r w:rsidRPr="00A26E07">
        <w:rPr>
          <w:b/>
        </w:rPr>
        <w:t>The 8</w:t>
      </w:r>
      <w:r w:rsidRPr="00A26E07">
        <w:rPr>
          <w:b/>
          <w:vertAlign w:val="superscript"/>
        </w:rPr>
        <w:t>th</w:t>
      </w:r>
      <w:r w:rsidRPr="00A26E07">
        <w:rPr>
          <w:b/>
        </w:rPr>
        <w:t xml:space="preserve"> Century</w:t>
      </w:r>
    </w:p>
    <w:p w14:paraId="642E8B28" w14:textId="7238F1AF" w:rsidR="00DB6CD6" w:rsidRPr="00A26E07" w:rsidRDefault="00DB6CD6" w:rsidP="009A22F4">
      <w:r w:rsidRPr="00A26E07">
        <w:t>Amos</w:t>
      </w:r>
      <w:r w:rsidRPr="00A26E07">
        <w:tab/>
      </w:r>
      <w:r w:rsidRPr="00A26E07">
        <w:tab/>
        <w:t>760</w:t>
      </w:r>
      <w:r w:rsidRPr="00A26E07">
        <w:tab/>
      </w:r>
      <w:r w:rsidRPr="00A26E07">
        <w:tab/>
      </w:r>
      <w:r w:rsidRPr="00A26E07">
        <w:tab/>
      </w:r>
      <w:r w:rsidR="00A64316" w:rsidRPr="00A26E07">
        <w:t xml:space="preserve">in </w:t>
      </w:r>
      <w:r w:rsidRPr="00A26E07">
        <w:t>Israel</w:t>
      </w:r>
    </w:p>
    <w:p w14:paraId="689D696D" w14:textId="4E0A8583" w:rsidR="00DB6CD6" w:rsidRPr="00A26E07" w:rsidRDefault="00DB6CD6" w:rsidP="009A22F4">
      <w:r w:rsidRPr="00A26E07">
        <w:t>Hosea</w:t>
      </w:r>
      <w:r w:rsidRPr="00A26E07">
        <w:tab/>
      </w:r>
      <w:r w:rsidRPr="00A26E07">
        <w:tab/>
        <w:t>745</w:t>
      </w:r>
      <w:r w:rsidRPr="00A26E07">
        <w:tab/>
      </w:r>
      <w:r w:rsidRPr="00A26E07">
        <w:tab/>
      </w:r>
      <w:r w:rsidRPr="00A26E07">
        <w:tab/>
      </w:r>
      <w:r w:rsidR="00A64316" w:rsidRPr="00A26E07">
        <w:t xml:space="preserve">in </w:t>
      </w:r>
      <w:r w:rsidRPr="00A26E07">
        <w:t>Israel</w:t>
      </w:r>
    </w:p>
    <w:p w14:paraId="79E26A03" w14:textId="0D2F4EAE" w:rsidR="00DB6CD6" w:rsidRPr="00A26E07" w:rsidRDefault="00DB6CD6" w:rsidP="009A22F4">
      <w:r w:rsidRPr="00A26E07">
        <w:t xml:space="preserve">Isaiah </w:t>
      </w:r>
      <w:r w:rsidRPr="00A26E07">
        <w:tab/>
      </w:r>
      <w:r w:rsidRPr="00A26E07">
        <w:tab/>
        <w:t>740-698</w:t>
      </w:r>
      <w:r w:rsidRPr="00A26E07">
        <w:tab/>
      </w:r>
      <w:r w:rsidRPr="00A26E07">
        <w:tab/>
      </w:r>
      <w:r w:rsidR="00A64316" w:rsidRPr="00A26E07">
        <w:t xml:space="preserve">in </w:t>
      </w:r>
      <w:r w:rsidRPr="00A26E07">
        <w:t>Jerusalem</w:t>
      </w:r>
    </w:p>
    <w:p w14:paraId="7E09F91C" w14:textId="494D13F6" w:rsidR="00DB6CD6" w:rsidRPr="00A26E07" w:rsidRDefault="00DB6CD6" w:rsidP="009A22F4">
      <w:r w:rsidRPr="00A26E07">
        <w:t xml:space="preserve">Micah </w:t>
      </w:r>
      <w:r w:rsidRPr="00A26E07">
        <w:tab/>
      </w:r>
      <w:r w:rsidRPr="00A26E07">
        <w:tab/>
        <w:t>735</w:t>
      </w:r>
      <w:r w:rsidRPr="00A26E07">
        <w:tab/>
      </w:r>
      <w:r w:rsidRPr="00A26E07">
        <w:tab/>
      </w:r>
      <w:r w:rsidRPr="00A26E07">
        <w:tab/>
      </w:r>
      <w:r w:rsidR="00A64316" w:rsidRPr="00A26E07">
        <w:t xml:space="preserve">in </w:t>
      </w:r>
      <w:r w:rsidRPr="00A26E07">
        <w:t>Jerusalem</w:t>
      </w:r>
    </w:p>
    <w:p w14:paraId="5FA6A978" w14:textId="2D03AF97" w:rsidR="00DB6CD6" w:rsidRPr="00A26E07" w:rsidRDefault="00DB6CD6" w:rsidP="009A22F4">
      <w:pPr>
        <w:rPr>
          <w:b/>
        </w:rPr>
      </w:pPr>
      <w:r w:rsidRPr="00A26E07">
        <w:rPr>
          <w:b/>
        </w:rPr>
        <w:t>7</w:t>
      </w:r>
      <w:r w:rsidRPr="00A26E07">
        <w:rPr>
          <w:b/>
          <w:vertAlign w:val="superscript"/>
        </w:rPr>
        <w:t>th</w:t>
      </w:r>
      <w:r w:rsidRPr="00A26E07">
        <w:rPr>
          <w:b/>
        </w:rPr>
        <w:t xml:space="preserve"> Century</w:t>
      </w:r>
    </w:p>
    <w:p w14:paraId="17C05C01" w14:textId="01740AED" w:rsidR="00DB6CD6" w:rsidRPr="00A26E07" w:rsidRDefault="00DB6CD6" w:rsidP="009A22F4">
      <w:r w:rsidRPr="00A26E07">
        <w:t>Zephaniah</w:t>
      </w:r>
      <w:r w:rsidRPr="00A26E07">
        <w:tab/>
        <w:t>630-622</w:t>
      </w:r>
      <w:r w:rsidRPr="00A26E07">
        <w:tab/>
      </w:r>
      <w:r w:rsidRPr="00A26E07">
        <w:tab/>
      </w:r>
      <w:r w:rsidR="00A64316" w:rsidRPr="00A26E07">
        <w:t xml:space="preserve">in </w:t>
      </w:r>
      <w:r w:rsidRPr="00A26E07">
        <w:t>Jerusalem</w:t>
      </w:r>
    </w:p>
    <w:p w14:paraId="49964C0F" w14:textId="346FDCA2" w:rsidR="00DB6CD6" w:rsidRPr="00A26E07" w:rsidRDefault="00DB6CD6" w:rsidP="009A22F4">
      <w:r w:rsidRPr="00A26E07">
        <w:t>Jeremiah</w:t>
      </w:r>
      <w:r w:rsidRPr="00A26E07">
        <w:tab/>
        <w:t xml:space="preserve">626-585 </w:t>
      </w:r>
      <w:r w:rsidRPr="00A26E07">
        <w:tab/>
      </w:r>
      <w:r w:rsidRPr="00A26E07">
        <w:tab/>
      </w:r>
      <w:r w:rsidR="00A64316" w:rsidRPr="00A26E07">
        <w:t xml:space="preserve">in </w:t>
      </w:r>
      <w:r w:rsidRPr="00A26E07">
        <w:t>Jerusalem and Egypt</w:t>
      </w:r>
    </w:p>
    <w:p w14:paraId="25F0B00C" w14:textId="5CF792C0" w:rsidR="00DB6CD6" w:rsidRPr="00A26E07" w:rsidRDefault="00DB6CD6" w:rsidP="009A22F4">
      <w:r w:rsidRPr="00A26E07">
        <w:t>Nahum</w:t>
      </w:r>
      <w:r w:rsidRPr="00A26E07">
        <w:tab/>
      </w:r>
      <w:r w:rsidRPr="00A26E07">
        <w:tab/>
        <w:t>625-612</w:t>
      </w:r>
      <w:r w:rsidRPr="00A26E07">
        <w:tab/>
      </w:r>
      <w:r w:rsidRPr="00A26E07">
        <w:tab/>
      </w:r>
      <w:r w:rsidR="00A64316" w:rsidRPr="00A26E07">
        <w:t xml:space="preserve">in </w:t>
      </w:r>
      <w:r w:rsidRPr="00A26E07">
        <w:t>Jerusalem</w:t>
      </w:r>
    </w:p>
    <w:p w14:paraId="1D9E729C" w14:textId="5BD3DC1F" w:rsidR="00DB6CD6" w:rsidRPr="00A26E07" w:rsidRDefault="00DB6CD6" w:rsidP="009A22F4">
      <w:r w:rsidRPr="00A26E07">
        <w:t>Habakkuk</w:t>
      </w:r>
      <w:r w:rsidRPr="00A26E07">
        <w:tab/>
        <w:t>610-605</w:t>
      </w:r>
      <w:r w:rsidRPr="00A26E07">
        <w:tab/>
      </w:r>
      <w:r w:rsidRPr="00A26E07">
        <w:tab/>
      </w:r>
      <w:r w:rsidR="00A64316" w:rsidRPr="00A26E07">
        <w:t xml:space="preserve">in </w:t>
      </w:r>
      <w:r w:rsidRPr="00A26E07">
        <w:t>Jerusalem</w:t>
      </w:r>
    </w:p>
    <w:p w14:paraId="629F91A1" w14:textId="69B069AD" w:rsidR="00DB6CD6" w:rsidRPr="00A26E07" w:rsidRDefault="00DB6CD6" w:rsidP="009A22F4">
      <w:pPr>
        <w:rPr>
          <w:b/>
        </w:rPr>
      </w:pPr>
      <w:r w:rsidRPr="00A26E07">
        <w:rPr>
          <w:b/>
        </w:rPr>
        <w:t>Exilic Group</w:t>
      </w:r>
    </w:p>
    <w:p w14:paraId="610E3248" w14:textId="628E01C3" w:rsidR="00DB6CD6" w:rsidRPr="00A26E07" w:rsidRDefault="00DB6CD6" w:rsidP="009A22F4">
      <w:r>
        <w:t>Ezekiel</w:t>
      </w:r>
      <w:r w:rsidR="00630E66">
        <w:tab/>
      </w:r>
      <w:r>
        <w:tab/>
        <w:t>592</w:t>
      </w:r>
      <w:r>
        <w:tab/>
      </w:r>
      <w:r>
        <w:tab/>
      </w:r>
      <w:r>
        <w:tab/>
      </w:r>
      <w:r w:rsidR="00A64316">
        <w:t xml:space="preserve">in </w:t>
      </w:r>
      <w:r>
        <w:t>Babylon</w:t>
      </w:r>
    </w:p>
    <w:p w14:paraId="78ABD70F" w14:textId="496085F4" w:rsidR="00DB6CD6" w:rsidRPr="00A26E07" w:rsidRDefault="00DB6CD6" w:rsidP="009A22F4">
      <w:r w:rsidRPr="00A26E07">
        <w:t>Obadiah</w:t>
      </w:r>
      <w:r w:rsidRPr="00A26E07">
        <w:tab/>
        <w:t>586</w:t>
      </w:r>
      <w:r w:rsidRPr="00A26E07">
        <w:tab/>
      </w:r>
      <w:r w:rsidRPr="00A26E07">
        <w:tab/>
      </w:r>
      <w:r w:rsidRPr="00A26E07">
        <w:tab/>
      </w:r>
      <w:r w:rsidR="00A64316" w:rsidRPr="00A26E07">
        <w:t xml:space="preserve">in </w:t>
      </w:r>
      <w:r w:rsidRPr="00A26E07">
        <w:t>Jerusalem or Babylon</w:t>
      </w:r>
    </w:p>
    <w:p w14:paraId="736651A8" w14:textId="77777777" w:rsidR="00DB6CD6" w:rsidRPr="00A26E07" w:rsidRDefault="00DB6CD6" w:rsidP="009A22F4">
      <w:pPr>
        <w:rPr>
          <w:b/>
        </w:rPr>
      </w:pPr>
      <w:r w:rsidRPr="00A26E07">
        <w:rPr>
          <w:b/>
        </w:rPr>
        <w:t>Post-Exilic Group</w:t>
      </w:r>
    </w:p>
    <w:p w14:paraId="375799EF" w14:textId="6CE7A26C" w:rsidR="00DB6CD6" w:rsidRPr="00A26E07" w:rsidRDefault="00DB6CD6" w:rsidP="009A22F4">
      <w:r w:rsidRPr="00A26E07">
        <w:t>Haggai</w:t>
      </w:r>
      <w:r w:rsidRPr="00A26E07">
        <w:tab/>
      </w:r>
      <w:r w:rsidRPr="00A26E07">
        <w:tab/>
        <w:t>520</w:t>
      </w:r>
      <w:r w:rsidRPr="00A26E07">
        <w:tab/>
      </w:r>
      <w:r w:rsidRPr="00A26E07">
        <w:tab/>
      </w:r>
      <w:r w:rsidRPr="00A26E07">
        <w:tab/>
      </w:r>
      <w:r w:rsidR="00A64316" w:rsidRPr="00A26E07">
        <w:t xml:space="preserve">in </w:t>
      </w:r>
      <w:r w:rsidRPr="00A26E07">
        <w:t>Jerusalem</w:t>
      </w:r>
    </w:p>
    <w:p w14:paraId="7C282A4A" w14:textId="27D4515B" w:rsidR="00DB6CD6" w:rsidRPr="00A26E07" w:rsidRDefault="00DB6CD6" w:rsidP="009A22F4">
      <w:r w:rsidRPr="00A26E07">
        <w:t>Zechariah</w:t>
      </w:r>
      <w:r w:rsidRPr="00A26E07">
        <w:tab/>
        <w:t>520</w:t>
      </w:r>
      <w:r w:rsidRPr="00A26E07">
        <w:tab/>
      </w:r>
      <w:r w:rsidRPr="00A26E07">
        <w:tab/>
      </w:r>
      <w:r w:rsidRPr="00A26E07">
        <w:tab/>
      </w:r>
      <w:r w:rsidR="00A64316" w:rsidRPr="00A26E07">
        <w:t xml:space="preserve">in </w:t>
      </w:r>
      <w:r w:rsidRPr="00A26E07">
        <w:t>Jerusalem</w:t>
      </w:r>
    </w:p>
    <w:p w14:paraId="4B5D6DEE" w14:textId="275DA574" w:rsidR="009A22F4" w:rsidRDefault="00DB6CD6">
      <w:r w:rsidRPr="00A26E07">
        <w:t>Malachi</w:t>
      </w:r>
      <w:r w:rsidRPr="00A26E07">
        <w:tab/>
        <w:t>435</w:t>
      </w:r>
      <w:r w:rsidRPr="00A26E07">
        <w:tab/>
      </w:r>
      <w:r w:rsidRPr="00A26E07">
        <w:tab/>
      </w:r>
      <w:r>
        <w:tab/>
      </w:r>
      <w:r w:rsidR="00A64316" w:rsidRPr="00A26E07">
        <w:t xml:space="preserve">in </w:t>
      </w:r>
      <w:r w:rsidRPr="00A26E07">
        <w:t xml:space="preserve">Jerusalem </w:t>
      </w:r>
      <w:r>
        <w:rPr>
          <w:rStyle w:val="FootnoteReference"/>
        </w:rPr>
        <w:footnoteReference w:id="153"/>
      </w:r>
      <w:r w:rsidR="009A22F4">
        <w:br w:type="page"/>
      </w:r>
    </w:p>
    <w:p w14:paraId="2BBC574D" w14:textId="15C77F14" w:rsidR="00DB6CD6" w:rsidRPr="00FA62F0" w:rsidRDefault="00DE779E" w:rsidP="00FA62F0">
      <w:pPr>
        <w:jc w:val="center"/>
        <w:rPr>
          <w:i/>
          <w:iCs/>
        </w:rPr>
      </w:pPr>
      <w:r w:rsidRPr="00FA62F0">
        <w:rPr>
          <w:i/>
          <w:iCs/>
        </w:rPr>
        <w:lastRenderedPageBreak/>
        <w:t>App</w:t>
      </w:r>
      <w:r w:rsidR="001425D9" w:rsidRPr="00FA62F0">
        <w:rPr>
          <w:i/>
          <w:iCs/>
        </w:rPr>
        <w:t>endix 3</w:t>
      </w:r>
    </w:p>
    <w:p w14:paraId="29070408" w14:textId="77777777" w:rsidR="001425D9" w:rsidRPr="00FA62F0" w:rsidRDefault="001425D9" w:rsidP="00FA62F0">
      <w:pPr>
        <w:jc w:val="center"/>
        <w:rPr>
          <w:b/>
          <w:bCs/>
        </w:rPr>
      </w:pPr>
      <w:r w:rsidRPr="00FA62F0">
        <w:rPr>
          <w:b/>
          <w:bCs/>
        </w:rPr>
        <w:t>Biographical Sketch: Samuel</w:t>
      </w:r>
    </w:p>
    <w:p w14:paraId="0D3281DF" w14:textId="77777777" w:rsidR="001425D9" w:rsidRDefault="001425D9" w:rsidP="009A22F4">
      <w:pPr>
        <w:spacing w:line="276" w:lineRule="auto"/>
        <w:rPr>
          <w:u w:val="single"/>
        </w:rPr>
      </w:pPr>
      <w:r>
        <w:rPr>
          <w:u w:val="single"/>
        </w:rPr>
        <w:t xml:space="preserve">Samuel’s </w:t>
      </w:r>
      <w:r w:rsidRPr="00124F5A">
        <w:rPr>
          <w:u w:val="single"/>
        </w:rPr>
        <w:t xml:space="preserve">Equipping </w:t>
      </w:r>
    </w:p>
    <w:p w14:paraId="65AD0F1E" w14:textId="23FC7DAC" w:rsidR="001425D9" w:rsidRPr="00033A94" w:rsidRDefault="001425D9" w:rsidP="009A22F4">
      <w:pPr>
        <w:pStyle w:val="ListParagraph"/>
        <w:numPr>
          <w:ilvl w:val="0"/>
          <w:numId w:val="15"/>
        </w:numPr>
        <w:spacing w:line="276" w:lineRule="auto"/>
        <w:rPr>
          <w:u w:val="single"/>
        </w:rPr>
      </w:pPr>
      <w:r>
        <w:t>Hannah, Samuel</w:t>
      </w:r>
      <w:r w:rsidR="000726F1">
        <w:t>’</w:t>
      </w:r>
      <w:r>
        <w:t xml:space="preserve">s mother, was a godly woman. She </w:t>
      </w:r>
      <w:r w:rsidR="000726F1">
        <w:t>petitioned</w:t>
      </w:r>
      <w:r>
        <w:t xml:space="preserve"> God for a son. She prayed with such passion that the priest, Eli, thought she was drunk. Hannah literally gave Samuel to the Lord and visited him yearly. </w:t>
      </w:r>
    </w:p>
    <w:p w14:paraId="3B29DA33" w14:textId="77777777" w:rsidR="001425D9" w:rsidRPr="00033A94" w:rsidRDefault="001425D9" w:rsidP="009A22F4">
      <w:pPr>
        <w:pStyle w:val="ListParagraph"/>
        <w:numPr>
          <w:ilvl w:val="0"/>
          <w:numId w:val="15"/>
        </w:numPr>
        <w:spacing w:line="276" w:lineRule="auto"/>
        <w:rPr>
          <w:u w:val="single"/>
        </w:rPr>
      </w:pPr>
      <w:r>
        <w:t xml:space="preserve">Samuel was from the tribe of Levi. (1 Chr. 6:33-38) Furthermore, he had training in the sanctuary under Eli. Eli had failed with his own sons, but his work with Samuel bore fruit. </w:t>
      </w:r>
    </w:p>
    <w:p w14:paraId="4FA4AA5F" w14:textId="0D99FB68" w:rsidR="001425D9" w:rsidRPr="0093131B" w:rsidRDefault="001425D9" w:rsidP="009A22F4">
      <w:pPr>
        <w:pStyle w:val="ListParagraph"/>
        <w:numPr>
          <w:ilvl w:val="0"/>
          <w:numId w:val="15"/>
        </w:numPr>
        <w:spacing w:line="276" w:lineRule="auto"/>
        <w:rPr>
          <w:u w:val="single"/>
        </w:rPr>
      </w:pPr>
      <w:r>
        <w:t>Samuel had a direct call from the Lord</w:t>
      </w:r>
      <w:r w:rsidR="00FB4977">
        <w:t>.</w:t>
      </w:r>
      <w:r>
        <w:t xml:space="preserve"> (1 Sam. 3) He spent his life to fulfill God’s purposes.</w:t>
      </w:r>
    </w:p>
    <w:p w14:paraId="7B28E22A" w14:textId="77777777" w:rsidR="001425D9" w:rsidRDefault="001425D9" w:rsidP="009A22F4">
      <w:pPr>
        <w:spacing w:line="276" w:lineRule="auto"/>
        <w:rPr>
          <w:u w:val="single"/>
        </w:rPr>
      </w:pPr>
      <w:r>
        <w:rPr>
          <w:u w:val="single"/>
        </w:rPr>
        <w:t>Samuel’s</w:t>
      </w:r>
      <w:r w:rsidRPr="00124F5A">
        <w:rPr>
          <w:u w:val="single"/>
        </w:rPr>
        <w:t xml:space="preserve"> Work</w:t>
      </w:r>
      <w:r>
        <w:rPr>
          <w:u w:val="single"/>
        </w:rPr>
        <w:t xml:space="preserve"> </w:t>
      </w:r>
    </w:p>
    <w:p w14:paraId="6A79556C" w14:textId="77777777" w:rsidR="001425D9" w:rsidRPr="00033A94" w:rsidRDefault="001425D9" w:rsidP="009A22F4">
      <w:pPr>
        <w:pStyle w:val="ListParagraph"/>
        <w:numPr>
          <w:ilvl w:val="0"/>
          <w:numId w:val="16"/>
        </w:numPr>
        <w:spacing w:line="276" w:lineRule="auto"/>
        <w:rPr>
          <w:u w:val="single"/>
        </w:rPr>
      </w:pPr>
      <w:r>
        <w:t xml:space="preserve">Samuel was God’s man in one of the darkest hours in Israel’s history. </w:t>
      </w:r>
    </w:p>
    <w:p w14:paraId="4BCF0D4A" w14:textId="77777777" w:rsidR="001425D9" w:rsidRPr="00033A94" w:rsidRDefault="001425D9" w:rsidP="009A22F4">
      <w:pPr>
        <w:pStyle w:val="ListParagraph"/>
        <w:numPr>
          <w:ilvl w:val="0"/>
          <w:numId w:val="16"/>
        </w:numPr>
        <w:spacing w:line="276" w:lineRule="auto"/>
        <w:rPr>
          <w:u w:val="single"/>
        </w:rPr>
      </w:pPr>
      <w:r>
        <w:t xml:space="preserve">He served as the last judge of Israel. </w:t>
      </w:r>
    </w:p>
    <w:p w14:paraId="613DAFCA" w14:textId="77777777" w:rsidR="001425D9" w:rsidRPr="00033A94" w:rsidRDefault="001425D9" w:rsidP="009A22F4">
      <w:pPr>
        <w:pStyle w:val="ListParagraph"/>
        <w:numPr>
          <w:ilvl w:val="0"/>
          <w:numId w:val="16"/>
        </w:numPr>
        <w:spacing w:line="276" w:lineRule="auto"/>
        <w:rPr>
          <w:u w:val="single"/>
        </w:rPr>
      </w:pPr>
      <w:r>
        <w:t xml:space="preserve">As the people’s leader, he helped save the land from the Philistines. He helped them gain a national existence. </w:t>
      </w:r>
    </w:p>
    <w:p w14:paraId="168DC568" w14:textId="77777777" w:rsidR="001425D9" w:rsidRPr="00033A94" w:rsidRDefault="001425D9" w:rsidP="009A22F4">
      <w:pPr>
        <w:pStyle w:val="ListParagraph"/>
        <w:numPr>
          <w:ilvl w:val="0"/>
          <w:numId w:val="16"/>
        </w:numPr>
        <w:spacing w:line="276" w:lineRule="auto"/>
        <w:rPr>
          <w:u w:val="single"/>
        </w:rPr>
      </w:pPr>
      <w:r>
        <w:t xml:space="preserve">As a maker of kings, he anointed Saul and David. </w:t>
      </w:r>
    </w:p>
    <w:p w14:paraId="57DAE545" w14:textId="77777777" w:rsidR="001425D9" w:rsidRPr="00033A94" w:rsidRDefault="001425D9" w:rsidP="009A22F4">
      <w:pPr>
        <w:pStyle w:val="ListParagraph"/>
        <w:numPr>
          <w:ilvl w:val="0"/>
          <w:numId w:val="16"/>
        </w:numPr>
        <w:spacing w:line="276" w:lineRule="auto"/>
        <w:rPr>
          <w:u w:val="single"/>
        </w:rPr>
      </w:pPr>
      <w:r>
        <w:t xml:space="preserve">As a man of prayer, he demonstrated the power of God. (Jer 15:1) </w:t>
      </w:r>
    </w:p>
    <w:p w14:paraId="039A74A4" w14:textId="77777777" w:rsidR="001425D9" w:rsidRPr="00033A94" w:rsidRDefault="001425D9" w:rsidP="009A22F4">
      <w:pPr>
        <w:pStyle w:val="ListParagraph"/>
        <w:numPr>
          <w:ilvl w:val="0"/>
          <w:numId w:val="16"/>
        </w:numPr>
        <w:spacing w:line="276" w:lineRule="auto"/>
        <w:rPr>
          <w:u w:val="single"/>
        </w:rPr>
      </w:pPr>
      <w:r>
        <w:t xml:space="preserve">He was the second great mountain (Moses the first) in the range that led all the way to Christ Himself. </w:t>
      </w:r>
    </w:p>
    <w:p w14:paraId="5779729F" w14:textId="77777777" w:rsidR="001425D9" w:rsidRPr="00BA43CE" w:rsidRDefault="001425D9" w:rsidP="009A22F4">
      <w:pPr>
        <w:spacing w:line="276" w:lineRule="auto"/>
        <w:rPr>
          <w:bCs/>
          <w:u w:val="single"/>
        </w:rPr>
      </w:pPr>
      <w:r w:rsidRPr="00BA43CE">
        <w:rPr>
          <w:bCs/>
          <w:u w:val="single"/>
        </w:rPr>
        <w:t>Practical Lessons from Samuel’s Life</w:t>
      </w:r>
    </w:p>
    <w:p w14:paraId="692F1CB2" w14:textId="77777777" w:rsidR="001425D9" w:rsidRDefault="001425D9" w:rsidP="009A22F4">
      <w:pPr>
        <w:pStyle w:val="ListParagraph"/>
        <w:numPr>
          <w:ilvl w:val="0"/>
          <w:numId w:val="14"/>
        </w:numPr>
        <w:spacing w:after="0" w:line="276" w:lineRule="auto"/>
      </w:pPr>
      <w:r>
        <w:t>What work one man can do when he is controlled and directed by God.</w:t>
      </w:r>
    </w:p>
    <w:p w14:paraId="4F6CB7D3" w14:textId="77777777" w:rsidR="001425D9" w:rsidRDefault="001425D9" w:rsidP="009A22F4">
      <w:pPr>
        <w:pStyle w:val="ListParagraph"/>
        <w:numPr>
          <w:ilvl w:val="0"/>
          <w:numId w:val="14"/>
        </w:numPr>
        <w:spacing w:after="0" w:line="276" w:lineRule="auto"/>
      </w:pPr>
      <w:r>
        <w:t xml:space="preserve">Personal piety can never be a substitute for parental training. (Eli) </w:t>
      </w:r>
    </w:p>
    <w:p w14:paraId="18D4E75B" w14:textId="77777777" w:rsidR="001425D9" w:rsidRDefault="001425D9" w:rsidP="009A22F4">
      <w:pPr>
        <w:pStyle w:val="ListParagraph"/>
        <w:numPr>
          <w:ilvl w:val="0"/>
          <w:numId w:val="14"/>
        </w:numPr>
        <w:spacing w:after="0" w:line="276" w:lineRule="auto"/>
      </w:pPr>
      <w:r>
        <w:t>We must listen for the voice of God and answer when He calls. (1 Sam. 3)</w:t>
      </w:r>
    </w:p>
    <w:p w14:paraId="3ABC4F66" w14:textId="77777777" w:rsidR="001425D9" w:rsidRDefault="001425D9" w:rsidP="009A22F4">
      <w:pPr>
        <w:pStyle w:val="ListParagraph"/>
        <w:numPr>
          <w:ilvl w:val="0"/>
          <w:numId w:val="14"/>
        </w:numPr>
        <w:spacing w:after="0" w:line="276" w:lineRule="auto"/>
      </w:pPr>
      <w:r>
        <w:t>Obedience is better than sacrifice. (1 Sam. 15:22)</w:t>
      </w:r>
    </w:p>
    <w:p w14:paraId="653EBE84" w14:textId="77777777" w:rsidR="001425D9" w:rsidRDefault="001425D9" w:rsidP="009A22F4">
      <w:pPr>
        <w:pStyle w:val="ListParagraph"/>
        <w:numPr>
          <w:ilvl w:val="0"/>
          <w:numId w:val="14"/>
        </w:numPr>
        <w:spacing w:after="0" w:line="276" w:lineRule="auto"/>
      </w:pPr>
      <w:r>
        <w:t>The value of early religious training at home.</w:t>
      </w:r>
    </w:p>
    <w:p w14:paraId="331FAC37" w14:textId="77777777" w:rsidR="001425D9" w:rsidRDefault="001425D9" w:rsidP="009A22F4">
      <w:pPr>
        <w:pStyle w:val="ListParagraph"/>
        <w:numPr>
          <w:ilvl w:val="0"/>
          <w:numId w:val="14"/>
        </w:numPr>
        <w:spacing w:after="0" w:line="276" w:lineRule="auto"/>
      </w:pPr>
      <w:r>
        <w:t>The happy state of the man who has lived a life above reproach in every detail.</w:t>
      </w:r>
    </w:p>
    <w:p w14:paraId="3FD245DD" w14:textId="00946DDD" w:rsidR="001425D9" w:rsidRDefault="001425D9" w:rsidP="009A22F4">
      <w:pPr>
        <w:pStyle w:val="ListParagraph"/>
        <w:numPr>
          <w:ilvl w:val="0"/>
          <w:numId w:val="14"/>
        </w:numPr>
        <w:spacing w:after="0" w:line="276" w:lineRule="auto"/>
      </w:pPr>
      <w:r>
        <w:t>A true servant of God may be called upon to train a younger man who will overshadow him in the estimation of the people. (i.e., Eli with Samuel)</w:t>
      </w:r>
      <w:r>
        <w:rPr>
          <w:rStyle w:val="FootnoteReference"/>
        </w:rPr>
        <w:footnoteReference w:id="154"/>
      </w:r>
      <w:r w:rsidR="009A22F4">
        <w:br w:type="page"/>
      </w:r>
    </w:p>
    <w:p w14:paraId="38761AB7" w14:textId="77777777" w:rsidR="009875D6" w:rsidRPr="00FA62F0" w:rsidRDefault="009875D6" w:rsidP="00FA62F0">
      <w:pPr>
        <w:jc w:val="center"/>
        <w:rPr>
          <w:i/>
          <w:iCs/>
        </w:rPr>
      </w:pPr>
      <w:r w:rsidRPr="00FA62F0">
        <w:rPr>
          <w:i/>
          <w:iCs/>
        </w:rPr>
        <w:lastRenderedPageBreak/>
        <w:t>Appendix 4</w:t>
      </w:r>
    </w:p>
    <w:p w14:paraId="24341347" w14:textId="2D65E104" w:rsidR="00427E75" w:rsidRPr="00FA62F0" w:rsidRDefault="00427E75" w:rsidP="00427E75">
      <w:pPr>
        <w:rPr>
          <w:b/>
          <w:bCs/>
        </w:rPr>
      </w:pPr>
      <w:r w:rsidRPr="00FA62F0">
        <w:rPr>
          <w:b/>
          <w:bCs/>
        </w:rPr>
        <w:t xml:space="preserve">1 Samuel Outline </w:t>
      </w:r>
    </w:p>
    <w:p w14:paraId="79A9FD97" w14:textId="77777777" w:rsidR="00427E75" w:rsidRPr="00DF0786" w:rsidRDefault="00427E75" w:rsidP="00427E75">
      <w:r w:rsidRPr="001D5C58">
        <w:t>I.</w:t>
      </w:r>
      <w:r>
        <w:t xml:space="preserve"> </w:t>
      </w:r>
      <w:r w:rsidRPr="00DF0786">
        <w:t>The Story of Samuel (1:1-7:17)</w:t>
      </w:r>
    </w:p>
    <w:p w14:paraId="097290A8" w14:textId="0AC78C89" w:rsidR="00427E75" w:rsidRPr="00DF0786" w:rsidRDefault="00427E75" w:rsidP="00427E75">
      <w:pPr>
        <w:numPr>
          <w:ilvl w:val="0"/>
          <w:numId w:val="33"/>
        </w:numPr>
      </w:pPr>
      <w:r w:rsidRPr="00DF0786">
        <w:t xml:space="preserve">Rise of Samuel as </w:t>
      </w:r>
      <w:r w:rsidR="00EE1A0D">
        <w:t xml:space="preserve">a </w:t>
      </w:r>
      <w:r w:rsidRPr="00DF0786">
        <w:t>prophet (1:1-4:1a)</w:t>
      </w:r>
    </w:p>
    <w:p w14:paraId="0B2427D2" w14:textId="77777777" w:rsidR="00427E75" w:rsidRPr="00DF0786" w:rsidRDefault="00427E75" w:rsidP="00427E75">
      <w:pPr>
        <w:numPr>
          <w:ilvl w:val="0"/>
          <w:numId w:val="33"/>
        </w:numPr>
      </w:pPr>
      <w:r w:rsidRPr="00DF0786">
        <w:t>Story of the ark of God (4:1b-7:1)</w:t>
      </w:r>
    </w:p>
    <w:p w14:paraId="05184BE7" w14:textId="77777777" w:rsidR="00427E75" w:rsidRPr="00DF0786" w:rsidRDefault="00427E75" w:rsidP="00427E75">
      <w:pPr>
        <w:numPr>
          <w:ilvl w:val="0"/>
          <w:numId w:val="33"/>
        </w:numPr>
      </w:pPr>
      <w:r w:rsidRPr="00DF0786">
        <w:t>Judgeship of Samuel (7:2-17)</w:t>
      </w:r>
    </w:p>
    <w:p w14:paraId="1024A1A1" w14:textId="77777777" w:rsidR="00427E75" w:rsidRPr="00DF0786" w:rsidRDefault="00427E75" w:rsidP="00427E75">
      <w:r>
        <w:t xml:space="preserve">II. </w:t>
      </w:r>
      <w:r w:rsidRPr="00DF0786">
        <w:t>Transition to the Monarchy (8:1-22)</w:t>
      </w:r>
    </w:p>
    <w:p w14:paraId="6859669E" w14:textId="77777777" w:rsidR="00427E75" w:rsidRPr="00DF0786" w:rsidRDefault="00427E75" w:rsidP="00427E75">
      <w:r>
        <w:t xml:space="preserve">III. </w:t>
      </w:r>
      <w:r w:rsidRPr="00DF0786">
        <w:t>The Story of Saul (9:1-15:35)</w:t>
      </w:r>
    </w:p>
    <w:p w14:paraId="48C2A007" w14:textId="77777777" w:rsidR="00427E75" w:rsidRPr="00DF0786" w:rsidRDefault="00427E75" w:rsidP="00427E75">
      <w:pPr>
        <w:numPr>
          <w:ilvl w:val="0"/>
          <w:numId w:val="34"/>
        </w:numPr>
      </w:pPr>
      <w:r w:rsidRPr="00DF0786">
        <w:t>Saul made king (9:1-11:15)</w:t>
      </w:r>
    </w:p>
    <w:p w14:paraId="6D820435" w14:textId="77777777" w:rsidR="00427E75" w:rsidRPr="00DF0786" w:rsidRDefault="00427E75" w:rsidP="00427E75">
      <w:pPr>
        <w:numPr>
          <w:ilvl w:val="0"/>
          <w:numId w:val="34"/>
        </w:numPr>
      </w:pPr>
      <w:r w:rsidRPr="00DF0786">
        <w:t>Samuel's address to Israel (12:1-25)</w:t>
      </w:r>
    </w:p>
    <w:p w14:paraId="2FE85306" w14:textId="77777777" w:rsidR="00427E75" w:rsidRDefault="00427E75" w:rsidP="00427E75">
      <w:pPr>
        <w:numPr>
          <w:ilvl w:val="0"/>
          <w:numId w:val="34"/>
        </w:numPr>
      </w:pPr>
      <w:r w:rsidRPr="00DF0786">
        <w:t>Reign of Saul (13:1-15:35)</w:t>
      </w:r>
      <w:r>
        <w:t xml:space="preserve"> </w:t>
      </w:r>
    </w:p>
    <w:p w14:paraId="7EC5EB10" w14:textId="77777777" w:rsidR="00427E75" w:rsidRPr="00DF0786" w:rsidRDefault="00427E75" w:rsidP="00427E75">
      <w:r>
        <w:t xml:space="preserve">IV. </w:t>
      </w:r>
      <w:r w:rsidRPr="00DF0786">
        <w:t>The Story of Saul and David (16:1-31:13)</w:t>
      </w:r>
    </w:p>
    <w:p w14:paraId="09D7B582" w14:textId="77777777" w:rsidR="00427E75" w:rsidRPr="00DF0786" w:rsidRDefault="00427E75" w:rsidP="00427E75">
      <w:pPr>
        <w:numPr>
          <w:ilvl w:val="0"/>
          <w:numId w:val="35"/>
        </w:numPr>
      </w:pPr>
      <w:r w:rsidRPr="00DF0786">
        <w:t>Introduction of David (16:1-23)</w:t>
      </w:r>
    </w:p>
    <w:p w14:paraId="335AF6E6" w14:textId="669B3722" w:rsidR="00427E75" w:rsidRPr="00DF0786" w:rsidRDefault="00427E75" w:rsidP="00427E75">
      <w:pPr>
        <w:numPr>
          <w:ilvl w:val="0"/>
          <w:numId w:val="35"/>
        </w:numPr>
      </w:pPr>
      <w:r w:rsidRPr="00DF0786">
        <w:t xml:space="preserve">David and Goliath: </w:t>
      </w:r>
      <w:r w:rsidR="00281F36">
        <w:t xml:space="preserve">the </w:t>
      </w:r>
      <w:r w:rsidRPr="00DF0786">
        <w:t>battle at the Valley of Elah (17:1-54)</w:t>
      </w:r>
    </w:p>
    <w:p w14:paraId="43BE91A6" w14:textId="77777777" w:rsidR="00427E75" w:rsidRPr="00DF0786" w:rsidRDefault="00427E75" w:rsidP="00427E75">
      <w:pPr>
        <w:numPr>
          <w:ilvl w:val="0"/>
          <w:numId w:val="35"/>
        </w:numPr>
      </w:pPr>
      <w:r w:rsidRPr="00DF0786">
        <w:t>Saul, Jonathan, and David (17:55-18:5)</w:t>
      </w:r>
    </w:p>
    <w:p w14:paraId="00E65AB6" w14:textId="77777777" w:rsidR="00427E75" w:rsidRPr="00DF0786" w:rsidRDefault="00427E75" w:rsidP="00427E75">
      <w:pPr>
        <w:numPr>
          <w:ilvl w:val="0"/>
          <w:numId w:val="35"/>
        </w:numPr>
      </w:pPr>
      <w:r w:rsidRPr="00DF0786">
        <w:t>Saul becomes David's enemy (18:6-30)</w:t>
      </w:r>
    </w:p>
    <w:p w14:paraId="20329D95" w14:textId="77777777" w:rsidR="00427E75" w:rsidRPr="00DF0786" w:rsidRDefault="00427E75" w:rsidP="00427E75">
      <w:pPr>
        <w:numPr>
          <w:ilvl w:val="0"/>
          <w:numId w:val="35"/>
        </w:numPr>
      </w:pPr>
      <w:r w:rsidRPr="00DF0786">
        <w:t>Saul's attempts to kill David (19:1-20:42)</w:t>
      </w:r>
    </w:p>
    <w:p w14:paraId="50D43013" w14:textId="77777777" w:rsidR="00427E75" w:rsidRPr="00DF0786" w:rsidRDefault="00427E75" w:rsidP="00427E75">
      <w:pPr>
        <w:numPr>
          <w:ilvl w:val="0"/>
          <w:numId w:val="35"/>
        </w:numPr>
      </w:pPr>
      <w:r w:rsidRPr="00DF0786">
        <w:t>David's escapes from Saul (21:1-26:25)</w:t>
      </w:r>
    </w:p>
    <w:p w14:paraId="77453129" w14:textId="77777777" w:rsidR="00427E75" w:rsidRPr="00DF0786" w:rsidRDefault="00427E75" w:rsidP="00427E75">
      <w:pPr>
        <w:numPr>
          <w:ilvl w:val="0"/>
          <w:numId w:val="35"/>
        </w:numPr>
      </w:pPr>
      <w:r w:rsidRPr="00DF0786">
        <w:t>David in Philistia (27:1-30:31)</w:t>
      </w:r>
    </w:p>
    <w:p w14:paraId="1FAEE5D2" w14:textId="1AAB7AFE" w:rsidR="009875D6" w:rsidRDefault="00427E75" w:rsidP="00427E75">
      <w:pPr>
        <w:numPr>
          <w:ilvl w:val="0"/>
          <w:numId w:val="35"/>
        </w:numPr>
      </w:pPr>
      <w:r w:rsidRPr="00DF0786">
        <w:t>Deaths of Saul and Jonathan (31:1-13)</w:t>
      </w:r>
      <w:r w:rsidR="00532295">
        <w:rPr>
          <w:rStyle w:val="FootnoteReference"/>
        </w:rPr>
        <w:footnoteReference w:id="155"/>
      </w:r>
      <w:r w:rsidR="009A22F4">
        <w:br w:type="page"/>
      </w:r>
    </w:p>
    <w:p w14:paraId="485A92C6" w14:textId="77777777" w:rsidR="009875D6" w:rsidRPr="00621D21" w:rsidRDefault="009875D6" w:rsidP="00FA62F0">
      <w:pPr>
        <w:jc w:val="center"/>
        <w:rPr>
          <w:i/>
          <w:iCs/>
        </w:rPr>
      </w:pPr>
      <w:r w:rsidRPr="00621D21">
        <w:rPr>
          <w:i/>
          <w:iCs/>
        </w:rPr>
        <w:lastRenderedPageBreak/>
        <w:t>Appendix 5</w:t>
      </w:r>
    </w:p>
    <w:p w14:paraId="4DA75EDC" w14:textId="361E6D79" w:rsidR="00427E75" w:rsidRPr="00FA62F0" w:rsidRDefault="00427E75" w:rsidP="00427E75">
      <w:pPr>
        <w:rPr>
          <w:b/>
          <w:bCs/>
        </w:rPr>
      </w:pPr>
      <w:r w:rsidRPr="00FA62F0">
        <w:rPr>
          <w:b/>
          <w:bCs/>
        </w:rPr>
        <w:t xml:space="preserve">2 Samuel Outline </w:t>
      </w:r>
    </w:p>
    <w:p w14:paraId="4D5AB98D" w14:textId="0013E640" w:rsidR="00427E75" w:rsidRDefault="008D27FA" w:rsidP="008D27FA">
      <w:r>
        <w:t xml:space="preserve">I. The Story of King David </w:t>
      </w:r>
      <w:r w:rsidR="008E5AFD">
        <w:t>(1:1-20:26)</w:t>
      </w:r>
    </w:p>
    <w:p w14:paraId="1BD9272D" w14:textId="35AF3311" w:rsidR="008E5AFD" w:rsidRDefault="009F27C8" w:rsidP="00C036D0">
      <w:r>
        <w:t xml:space="preserve">     </w:t>
      </w:r>
      <w:r w:rsidR="008E5AFD">
        <w:t xml:space="preserve">A. David and the </w:t>
      </w:r>
      <w:r w:rsidR="00947631">
        <w:t>d</w:t>
      </w:r>
      <w:r w:rsidR="008E5AFD">
        <w:t>eath of Saul (1:1-27)</w:t>
      </w:r>
    </w:p>
    <w:p w14:paraId="1AE8773E" w14:textId="1446D83A" w:rsidR="008E5AFD" w:rsidRDefault="009F27C8" w:rsidP="00C036D0">
      <w:r>
        <w:t xml:space="preserve">     </w:t>
      </w:r>
      <w:r w:rsidR="008E5AFD">
        <w:t xml:space="preserve">B. </w:t>
      </w:r>
      <w:r w:rsidR="00947631">
        <w:t>David becomes king (2:1-5:5)</w:t>
      </w:r>
    </w:p>
    <w:p w14:paraId="2BDE30D7" w14:textId="3A6A5F40" w:rsidR="00947631" w:rsidRDefault="009F27C8" w:rsidP="00C036D0">
      <w:r>
        <w:t xml:space="preserve">     </w:t>
      </w:r>
      <w:r w:rsidR="00947631">
        <w:t xml:space="preserve">C. Jerusalem, the city of David (5:6-25) </w:t>
      </w:r>
    </w:p>
    <w:p w14:paraId="4F0B5F3A" w14:textId="1C2A0A95" w:rsidR="00947631" w:rsidRDefault="009F27C8" w:rsidP="00C036D0">
      <w:r>
        <w:t xml:space="preserve">     </w:t>
      </w:r>
      <w:r w:rsidR="00947631">
        <w:t xml:space="preserve">D. </w:t>
      </w:r>
      <w:r w:rsidR="00B419CB">
        <w:t>Zion, the place of worship (6:1-23)</w:t>
      </w:r>
    </w:p>
    <w:p w14:paraId="5D96B7AD" w14:textId="1749346F" w:rsidR="00B419CB" w:rsidRDefault="009F27C8" w:rsidP="00C036D0">
      <w:r>
        <w:t xml:space="preserve">     </w:t>
      </w:r>
      <w:r w:rsidR="00B419CB">
        <w:t>E. Davidic covenant: eternal throne (</w:t>
      </w:r>
      <w:r w:rsidR="00C8342E">
        <w:t>7:1-29)</w:t>
      </w:r>
    </w:p>
    <w:p w14:paraId="47D92693" w14:textId="15FE3EED" w:rsidR="00C8342E" w:rsidRDefault="009F27C8" w:rsidP="00C036D0">
      <w:r>
        <w:t xml:space="preserve">     </w:t>
      </w:r>
      <w:r w:rsidR="00C8342E">
        <w:t>F. Catalog of David’s military activities (8:1-18)</w:t>
      </w:r>
    </w:p>
    <w:p w14:paraId="0237DC3E" w14:textId="4C628EB3" w:rsidR="00C8342E" w:rsidRDefault="009F27C8" w:rsidP="00C036D0">
      <w:r>
        <w:t xml:space="preserve">     </w:t>
      </w:r>
      <w:r w:rsidR="00C8342E">
        <w:t>G. Mephib</w:t>
      </w:r>
      <w:r w:rsidR="005E2E08">
        <w:t>osheth (9:1-13)</w:t>
      </w:r>
    </w:p>
    <w:p w14:paraId="634C75CF" w14:textId="28F271BD" w:rsidR="005E2E08" w:rsidRDefault="00532295" w:rsidP="00C036D0">
      <w:r>
        <w:t xml:space="preserve">     </w:t>
      </w:r>
      <w:r w:rsidR="005E2E08">
        <w:t>H. Israel-Ammon war (10:1-</w:t>
      </w:r>
      <w:r w:rsidR="00B44624">
        <w:t>12:31)</w:t>
      </w:r>
    </w:p>
    <w:p w14:paraId="5B522A31" w14:textId="2B67BE6F" w:rsidR="00B44624" w:rsidRDefault="00532295" w:rsidP="00C036D0">
      <w:r>
        <w:t xml:space="preserve">     </w:t>
      </w:r>
      <w:r w:rsidR="00B44624">
        <w:t>I. Abs</w:t>
      </w:r>
      <w:r w:rsidR="0015325F">
        <w:t>a</w:t>
      </w:r>
      <w:r w:rsidR="00B44624">
        <w:t>lom’s banishment and reinstatement (13:1-14:33)</w:t>
      </w:r>
    </w:p>
    <w:p w14:paraId="6488221C" w14:textId="3A4C32B5" w:rsidR="00B44624" w:rsidRDefault="00532295" w:rsidP="00C036D0">
      <w:r>
        <w:t xml:space="preserve">     </w:t>
      </w:r>
      <w:r w:rsidR="00B44624">
        <w:t xml:space="preserve">J. </w:t>
      </w:r>
      <w:r w:rsidR="0015325F">
        <w:t>Absalom’s</w:t>
      </w:r>
      <w:r w:rsidR="00B44624">
        <w:t xml:space="preserve"> rebellion (</w:t>
      </w:r>
      <w:r w:rsidR="0015325F">
        <w:t>15:1-19:43)</w:t>
      </w:r>
    </w:p>
    <w:p w14:paraId="45C77B39" w14:textId="52DB9D3B" w:rsidR="0015325F" w:rsidRDefault="00532295" w:rsidP="00C036D0">
      <w:r>
        <w:t xml:space="preserve">     </w:t>
      </w:r>
      <w:r w:rsidR="0015325F">
        <w:t>K. Sheba’s rebellion (20:1-26)</w:t>
      </w:r>
    </w:p>
    <w:p w14:paraId="5C09253B" w14:textId="756D3CE6" w:rsidR="0015325F" w:rsidRDefault="00B12DFD" w:rsidP="008D27FA">
      <w:r>
        <w:t>II. Epilogue (21:1-24:25)</w:t>
      </w:r>
    </w:p>
    <w:p w14:paraId="2358D8D8" w14:textId="3F045ACA" w:rsidR="00B12DFD" w:rsidRDefault="00532295" w:rsidP="00532295">
      <w:r>
        <w:t xml:space="preserve">     </w:t>
      </w:r>
      <w:r w:rsidR="00C65E2E">
        <w:t xml:space="preserve">A. </w:t>
      </w:r>
      <w:r w:rsidR="00CD4149">
        <w:t>Famine and the death of Saul’s sons (21:1-14)</w:t>
      </w:r>
    </w:p>
    <w:p w14:paraId="140E0C09" w14:textId="3DD9AC04" w:rsidR="00CD4149" w:rsidRDefault="00532295" w:rsidP="00532295">
      <w:r>
        <w:t xml:space="preserve">     </w:t>
      </w:r>
      <w:r w:rsidR="00CD4149">
        <w:t>B. Philistine wars (21:15-22)</w:t>
      </w:r>
    </w:p>
    <w:p w14:paraId="63948A71" w14:textId="5718A297" w:rsidR="00CD4149" w:rsidRDefault="00532295" w:rsidP="00532295">
      <w:r>
        <w:t xml:space="preserve">     </w:t>
      </w:r>
      <w:r w:rsidR="00CD4149">
        <w:t>C. Song of David (</w:t>
      </w:r>
      <w:r w:rsidR="00730B99">
        <w:t>22:1-51)</w:t>
      </w:r>
    </w:p>
    <w:p w14:paraId="1A85942C" w14:textId="42AF1205" w:rsidR="00730B99" w:rsidRDefault="00532295" w:rsidP="00532295">
      <w:r>
        <w:t xml:space="preserve">     </w:t>
      </w:r>
      <w:r w:rsidR="00730B99">
        <w:t>D. Last words of David (23:1-7)</w:t>
      </w:r>
    </w:p>
    <w:p w14:paraId="494FBACB" w14:textId="37515F97" w:rsidR="00730B99" w:rsidRDefault="00532295" w:rsidP="00532295">
      <w:r>
        <w:t xml:space="preserve">     </w:t>
      </w:r>
      <w:r w:rsidR="00730B99">
        <w:t>E. David’s heroes (23:8-39)</w:t>
      </w:r>
    </w:p>
    <w:p w14:paraId="7F069C17" w14:textId="24DB5A56" w:rsidR="000A6437" w:rsidRDefault="00532295" w:rsidP="009A22F4">
      <w:r>
        <w:t xml:space="preserve">     </w:t>
      </w:r>
      <w:r w:rsidR="00730B99">
        <w:t xml:space="preserve">F. The census and the </w:t>
      </w:r>
      <w:r w:rsidR="00C65E2E">
        <w:t>threshing</w:t>
      </w:r>
      <w:r w:rsidR="00730B99">
        <w:t xml:space="preserve"> floor (</w:t>
      </w:r>
      <w:r w:rsidR="00C65E2E">
        <w:t>24:1-25)</w:t>
      </w:r>
      <w:r w:rsidR="009875D6">
        <w:rPr>
          <w:rStyle w:val="FootnoteReference"/>
        </w:rPr>
        <w:footnoteReference w:id="156"/>
      </w:r>
      <w:r w:rsidR="009A22F4">
        <w:br w:type="page"/>
      </w:r>
    </w:p>
    <w:p w14:paraId="049039F7" w14:textId="37E6FE28" w:rsidR="00C65E2E" w:rsidRPr="00621D21" w:rsidRDefault="0C9B3AA8" w:rsidP="01EB8908">
      <w:pPr>
        <w:jc w:val="center"/>
        <w:rPr>
          <w:i/>
          <w:iCs/>
        </w:rPr>
      </w:pPr>
      <w:r w:rsidRPr="01EB8908">
        <w:rPr>
          <w:i/>
          <w:iCs/>
        </w:rPr>
        <w:lastRenderedPageBreak/>
        <w:t xml:space="preserve">Selected </w:t>
      </w:r>
      <w:r w:rsidR="000A6437" w:rsidRPr="01EB8908">
        <w:rPr>
          <w:i/>
          <w:iCs/>
        </w:rPr>
        <w:t>Bibliography</w:t>
      </w:r>
    </w:p>
    <w:p w14:paraId="26543B5F" w14:textId="1E88C9F4" w:rsidR="000A6437" w:rsidRPr="00621D21" w:rsidRDefault="000D1733" w:rsidP="000A6437">
      <w:pPr>
        <w:jc w:val="center"/>
        <w:rPr>
          <w:b/>
          <w:bCs/>
          <w:i/>
          <w:iCs/>
        </w:rPr>
      </w:pPr>
      <w:r w:rsidRPr="00621D21">
        <w:rPr>
          <w:b/>
          <w:bCs/>
          <w:i/>
          <w:iCs/>
        </w:rPr>
        <w:t>Books</w:t>
      </w:r>
    </w:p>
    <w:p w14:paraId="6CB12BD3" w14:textId="77777777" w:rsidR="000A6437" w:rsidRDefault="000A6437" w:rsidP="000A6437">
      <w:r>
        <w:t xml:space="preserve">Alexander, David, and Pat Alexander, eds. </w:t>
      </w:r>
      <w:r w:rsidRPr="00D650A1">
        <w:rPr>
          <w:i/>
          <w:iCs/>
        </w:rPr>
        <w:t>Eerdmans Handbook to the Bible</w:t>
      </w:r>
      <w:r>
        <w:t xml:space="preserve">. Grand Rapids: </w:t>
      </w:r>
      <w:r>
        <w:tab/>
        <w:t>William B. Eerdmans Publishing Company, 1973.</w:t>
      </w:r>
    </w:p>
    <w:p w14:paraId="5006D76C" w14:textId="2E66BDA4" w:rsidR="00434E35" w:rsidRPr="00DA631A" w:rsidRDefault="0022178C" w:rsidP="000A6437">
      <w:r>
        <w:t xml:space="preserve">Alter, Robert. </w:t>
      </w:r>
      <w:r>
        <w:rPr>
          <w:i/>
          <w:iCs/>
        </w:rPr>
        <w:t xml:space="preserve">Ancient Israel: </w:t>
      </w:r>
      <w:r w:rsidR="00434E35">
        <w:rPr>
          <w:i/>
          <w:iCs/>
        </w:rPr>
        <w:t>The Former Prophets Joshua, Judges, Samuel, Kings</w:t>
      </w:r>
      <w:r w:rsidR="00DA631A" w:rsidRPr="00B878CD">
        <w:t>.</w:t>
      </w:r>
      <w:r w:rsidR="00DA631A">
        <w:rPr>
          <w:i/>
          <w:iCs/>
        </w:rPr>
        <w:t xml:space="preserve"> </w:t>
      </w:r>
      <w:r w:rsidR="00DA631A">
        <w:t xml:space="preserve">New York: </w:t>
      </w:r>
      <w:r w:rsidR="00B878CD">
        <w:tab/>
      </w:r>
      <w:r w:rsidR="00DA631A">
        <w:t xml:space="preserve">W.W. Norton &amp; </w:t>
      </w:r>
      <w:r w:rsidR="00B878CD">
        <w:t>Company</w:t>
      </w:r>
      <w:r w:rsidR="00DA631A">
        <w:t xml:space="preserve">, </w:t>
      </w:r>
      <w:r w:rsidR="00B878CD">
        <w:t xml:space="preserve">2013. </w:t>
      </w:r>
    </w:p>
    <w:p w14:paraId="63EB3E3A" w14:textId="79B82B2C" w:rsidR="000A6437" w:rsidRDefault="000A6437" w:rsidP="000A6437">
      <w:r>
        <w:t xml:space="preserve">Anderson, A.A. </w:t>
      </w:r>
      <w:r>
        <w:rPr>
          <w:i/>
          <w:iCs/>
        </w:rPr>
        <w:t>2 Samuel</w:t>
      </w:r>
      <w:r>
        <w:t>.</w:t>
      </w:r>
      <w:r w:rsidRPr="00565B44">
        <w:t xml:space="preserve"> </w:t>
      </w:r>
      <w:r>
        <w:t xml:space="preserve">Vol. 11 of the Word Biblical Commentary, edited by David A. </w:t>
      </w:r>
      <w:r>
        <w:tab/>
        <w:t>Hubbard and Glenn W. Barker. Dallas: World Books, 1989.</w:t>
      </w:r>
    </w:p>
    <w:p w14:paraId="52BF2B95" w14:textId="77777777" w:rsidR="000A6437" w:rsidRDefault="000A6437" w:rsidP="000A6437">
      <w:r>
        <w:t xml:space="preserve">Andrews, Stephen J., and Robert D. Bergen. </w:t>
      </w:r>
      <w:r>
        <w:rPr>
          <w:i/>
          <w:iCs/>
        </w:rPr>
        <w:t xml:space="preserve">1&amp;2 </w:t>
      </w:r>
      <w:r w:rsidRPr="005D0699">
        <w:rPr>
          <w:i/>
          <w:iCs/>
        </w:rPr>
        <w:t>Samuel</w:t>
      </w:r>
      <w:r>
        <w:t xml:space="preserve">. Vol. 6 of the </w:t>
      </w:r>
      <w:r>
        <w:rPr>
          <w:i/>
          <w:iCs/>
        </w:rPr>
        <w:t xml:space="preserve">Holman Old Testament </w:t>
      </w:r>
      <w:r>
        <w:rPr>
          <w:i/>
          <w:iCs/>
        </w:rPr>
        <w:tab/>
        <w:t>Commentary</w:t>
      </w:r>
      <w:r>
        <w:t>, edited by Max Anders. Nashville: Holman Reference, 2009.</w:t>
      </w:r>
    </w:p>
    <w:p w14:paraId="0AF7DE48" w14:textId="77777777" w:rsidR="000A6437" w:rsidRPr="00647DD0" w:rsidRDefault="000A6437" w:rsidP="000A6437">
      <w:r>
        <w:t xml:space="preserve">Arnold, Bill T. </w:t>
      </w:r>
      <w:r w:rsidRPr="00915115">
        <w:rPr>
          <w:i/>
          <w:iCs/>
        </w:rPr>
        <w:t>1 and 2 Samuel</w:t>
      </w:r>
      <w:r>
        <w:t xml:space="preserve">, in </w:t>
      </w:r>
      <w:r w:rsidRPr="00915115">
        <w:rPr>
          <w:i/>
          <w:iCs/>
        </w:rPr>
        <w:t>The NIV Application Commentary</w:t>
      </w:r>
      <w:r>
        <w:t>,</w:t>
      </w:r>
      <w:r w:rsidRPr="00915115">
        <w:rPr>
          <w:i/>
          <w:iCs/>
        </w:rPr>
        <w:t xml:space="preserve"> </w:t>
      </w:r>
      <w:r>
        <w:t xml:space="preserve">edited by Terry Muck. </w:t>
      </w:r>
      <w:r>
        <w:tab/>
        <w:t xml:space="preserve">Grand Rapids: Zondervan, 2003. </w:t>
      </w:r>
    </w:p>
    <w:p w14:paraId="621719E4" w14:textId="3FFE3DEF" w:rsidR="000A6437" w:rsidRDefault="00FA51C9" w:rsidP="000A6437">
      <w:r>
        <w:t>___________.,</w:t>
      </w:r>
      <w:r w:rsidR="000A6437">
        <w:t xml:space="preserve"> and Bryan E. Byer. </w:t>
      </w:r>
      <w:r w:rsidR="000A6437">
        <w:rPr>
          <w:i/>
          <w:iCs/>
        </w:rPr>
        <w:t>Encountering the Old Testament: A Christian Survey</w:t>
      </w:r>
      <w:r w:rsidR="000A6437">
        <w:t>, 3</w:t>
      </w:r>
      <w:r w:rsidR="000A6437" w:rsidRPr="00827FF8">
        <w:rPr>
          <w:vertAlign w:val="superscript"/>
        </w:rPr>
        <w:t>rd</w:t>
      </w:r>
      <w:r w:rsidR="000A6437">
        <w:t xml:space="preserve"> ed. </w:t>
      </w:r>
      <w:r w:rsidR="000A6437">
        <w:tab/>
        <w:t xml:space="preserve">Grand Rapids: Baker Academic, 2008. </w:t>
      </w:r>
    </w:p>
    <w:p w14:paraId="2B492056" w14:textId="77777777" w:rsidR="000A6437" w:rsidRDefault="000A6437" w:rsidP="000A6437">
      <w:r>
        <w:t>Baldwin,</w:t>
      </w:r>
      <w:r w:rsidRPr="00394DCC">
        <w:t xml:space="preserve"> </w:t>
      </w:r>
      <w:r>
        <w:t xml:space="preserve">Joyce G. </w:t>
      </w:r>
      <w:r w:rsidRPr="0042110B">
        <w:rPr>
          <w:i/>
          <w:iCs/>
        </w:rPr>
        <w:t>1 and 2 Samuel</w:t>
      </w:r>
      <w:r>
        <w:t xml:space="preserve">. Vol. 8 of the </w:t>
      </w:r>
      <w:r w:rsidRPr="00235B60">
        <w:rPr>
          <w:i/>
          <w:iCs/>
        </w:rPr>
        <w:t>Tyndale Old Testament Commentaries</w:t>
      </w:r>
      <w:r>
        <w:t>.</w:t>
      </w:r>
      <w:r>
        <w:tab/>
        <w:t xml:space="preserve">Leicester: InterVarsity, 1988. </w:t>
      </w:r>
    </w:p>
    <w:p w14:paraId="2F6A5B49" w14:textId="77777777" w:rsidR="000A6437" w:rsidRDefault="000A6437" w:rsidP="000A6437">
      <w:r>
        <w:t xml:space="preserve">Bergen, Robert D. </w:t>
      </w:r>
      <w:r w:rsidRPr="00AE58A2">
        <w:rPr>
          <w:i/>
          <w:iCs/>
        </w:rPr>
        <w:t>1, 2 Samuel</w:t>
      </w:r>
      <w:r>
        <w:t>. V</w:t>
      </w:r>
      <w:r w:rsidRPr="007A3CDA">
        <w:t xml:space="preserve">ol. </w:t>
      </w:r>
      <w:r>
        <w:t>7</w:t>
      </w:r>
      <w:r w:rsidRPr="007A3CDA">
        <w:t xml:space="preserve"> of </w:t>
      </w:r>
      <w:r w:rsidRPr="00D70EEB">
        <w:rPr>
          <w:i/>
          <w:iCs/>
        </w:rPr>
        <w:t>T</w:t>
      </w:r>
      <w:r w:rsidRPr="00AE58A2">
        <w:rPr>
          <w:i/>
          <w:iCs/>
        </w:rPr>
        <w:t>he New American Commentary</w:t>
      </w:r>
      <w:r w:rsidRPr="007A3CDA">
        <w:t xml:space="preserve">, edited by E. Ray </w:t>
      </w:r>
      <w:r>
        <w:tab/>
      </w:r>
      <w:r w:rsidRPr="007A3CDA">
        <w:t>Clendenen</w:t>
      </w:r>
      <w:r>
        <w:t xml:space="preserve">. </w:t>
      </w:r>
      <w:r w:rsidRPr="007A3CDA">
        <w:t>Nashville: Broadman and Holman, 1996</w:t>
      </w:r>
      <w:r>
        <w:t>.</w:t>
      </w:r>
    </w:p>
    <w:p w14:paraId="1E3CC368" w14:textId="77777777" w:rsidR="000A6437" w:rsidRDefault="000A6437" w:rsidP="000A6437">
      <w:r>
        <w:t xml:space="preserve">Brueggemann, W. </w:t>
      </w:r>
      <w:r>
        <w:rPr>
          <w:i/>
          <w:iCs/>
        </w:rPr>
        <w:t>First and Second Samuel</w:t>
      </w:r>
      <w:r>
        <w:t xml:space="preserve">. In </w:t>
      </w:r>
      <w:r w:rsidRPr="00B352F0">
        <w:rPr>
          <w:i/>
          <w:iCs/>
        </w:rPr>
        <w:t xml:space="preserve">Interpretation: A Bible Commentary for </w:t>
      </w:r>
      <w:r>
        <w:rPr>
          <w:i/>
          <w:iCs/>
        </w:rPr>
        <w:tab/>
      </w:r>
      <w:r w:rsidRPr="00B352F0">
        <w:rPr>
          <w:i/>
          <w:iCs/>
        </w:rPr>
        <w:t>Teaching and Preaching</w:t>
      </w:r>
      <w:r>
        <w:t>. Louisville: John Knox, 1990.</w:t>
      </w:r>
    </w:p>
    <w:p w14:paraId="1C2135FD" w14:textId="5E671880" w:rsidR="000A6437" w:rsidRDefault="000A6437" w:rsidP="000A6437">
      <w:r>
        <w:t xml:space="preserve">Buttrick, </w:t>
      </w:r>
      <w:r w:rsidR="00D75970">
        <w:t>George Arthur</w:t>
      </w:r>
      <w:r w:rsidR="00C82180">
        <w:t>,</w:t>
      </w:r>
      <w:r w:rsidR="00D75970">
        <w:t xml:space="preserve"> </w:t>
      </w:r>
      <w:r>
        <w:t xml:space="preserve">ed. </w:t>
      </w:r>
      <w:r w:rsidRPr="004934A9">
        <w:rPr>
          <w:i/>
          <w:iCs/>
        </w:rPr>
        <w:t>Interpreter’s Dictionary of the Bible</w:t>
      </w:r>
      <w:r>
        <w:t>.</w:t>
      </w:r>
      <w:r w:rsidRPr="008E7682">
        <w:t xml:space="preserve"> </w:t>
      </w:r>
      <w:r>
        <w:t xml:space="preserve">Vol. 3. Nashville: Abingdon </w:t>
      </w:r>
      <w:r>
        <w:tab/>
        <w:t>Press, 1982</w:t>
      </w:r>
    </w:p>
    <w:p w14:paraId="7A84674A" w14:textId="5F334122" w:rsidR="00D75970" w:rsidRPr="00D75970" w:rsidRDefault="00D75970" w:rsidP="000A6437">
      <w:r>
        <w:t xml:space="preserve">Coogan, Michael D. </w:t>
      </w:r>
      <w:r>
        <w:rPr>
          <w:i/>
          <w:iCs/>
        </w:rPr>
        <w:t>The Oxford History of the Biblical World</w:t>
      </w:r>
      <w:r w:rsidRPr="00D75970">
        <w:t>.</w:t>
      </w:r>
      <w:r>
        <w:rPr>
          <w:i/>
          <w:iCs/>
        </w:rPr>
        <w:t xml:space="preserve"> </w:t>
      </w:r>
      <w:r w:rsidR="00AF0A9F">
        <w:t xml:space="preserve">Oxford: Oxford University Press, </w:t>
      </w:r>
      <w:r w:rsidR="0037546F">
        <w:tab/>
      </w:r>
      <w:r w:rsidR="00AF0A9F">
        <w:t xml:space="preserve">1998. </w:t>
      </w:r>
    </w:p>
    <w:p w14:paraId="4120F025" w14:textId="314D38AF" w:rsidR="000A6437" w:rsidRDefault="000A6437" w:rsidP="000A6437">
      <w:r w:rsidRPr="002F3926">
        <w:t>Crossway Bibles</w:t>
      </w:r>
      <w:r>
        <w:t>.</w:t>
      </w:r>
      <w:r w:rsidRPr="002F3926">
        <w:rPr>
          <w:i/>
          <w:iCs/>
        </w:rPr>
        <w:t> ESV Study Bible: English Standard Version</w:t>
      </w:r>
      <w:r w:rsidRPr="002F3926">
        <w:t xml:space="preserve">. Wheaton, IL: Crossway Bibles, </w:t>
      </w:r>
      <w:r>
        <w:tab/>
      </w:r>
      <w:r w:rsidRPr="002F3926">
        <w:t>2008.</w:t>
      </w:r>
    </w:p>
    <w:p w14:paraId="27A98EFD" w14:textId="678523B8" w:rsidR="000A6437" w:rsidRDefault="000A6437" w:rsidP="000A6437">
      <w:r>
        <w:t>Douglas,</w:t>
      </w:r>
      <w:r w:rsidRPr="008E7682">
        <w:t xml:space="preserve"> </w:t>
      </w:r>
      <w:r>
        <w:t xml:space="preserve">J.D., and Merrill C. Tenney, eds. </w:t>
      </w:r>
      <w:r w:rsidRPr="004934A9">
        <w:rPr>
          <w:i/>
          <w:iCs/>
        </w:rPr>
        <w:t xml:space="preserve">The New International Dictionary of the Bible: </w:t>
      </w:r>
      <w:r>
        <w:rPr>
          <w:i/>
          <w:iCs/>
        </w:rPr>
        <w:tab/>
      </w:r>
      <w:r w:rsidRPr="004934A9">
        <w:rPr>
          <w:i/>
          <w:iCs/>
        </w:rPr>
        <w:t>Pictorial Edition</w:t>
      </w:r>
      <w:r>
        <w:t>. Grand Rapids: Zondervan, 1987.</w:t>
      </w:r>
    </w:p>
    <w:p w14:paraId="2EDF47B1" w14:textId="77777777" w:rsidR="000A6437" w:rsidRDefault="000A6437" w:rsidP="000A6437">
      <w:r>
        <w:t xml:space="preserve">Gordon, Robert P. </w:t>
      </w:r>
      <w:r w:rsidRPr="009144F2">
        <w:rPr>
          <w:i/>
          <w:iCs/>
        </w:rPr>
        <w:t>1 and II Samuel</w:t>
      </w:r>
      <w:r>
        <w:rPr>
          <w:i/>
          <w:iCs/>
        </w:rPr>
        <w:t>: A Commentary</w:t>
      </w:r>
      <w:r>
        <w:t xml:space="preserve">. Library of Biblical Interpretation. Grand </w:t>
      </w:r>
      <w:r>
        <w:tab/>
        <w:t xml:space="preserve">Rapids: Zondervan, 1999. </w:t>
      </w:r>
    </w:p>
    <w:p w14:paraId="46CE2B97" w14:textId="77777777" w:rsidR="000A6437" w:rsidRPr="00BB5AA9" w:rsidRDefault="000A6437" w:rsidP="000A6437">
      <w:pPr>
        <w:rPr>
          <w:b/>
          <w:bCs/>
        </w:rPr>
      </w:pPr>
      <w:r>
        <w:t xml:space="preserve">Hertzberg, Hans. </w:t>
      </w:r>
      <w:r w:rsidRPr="008C1439">
        <w:rPr>
          <w:i/>
          <w:iCs/>
        </w:rPr>
        <w:t>1 &amp; 2 Samuel</w:t>
      </w:r>
      <w:r>
        <w:t xml:space="preserve">. In </w:t>
      </w:r>
      <w:r w:rsidRPr="00D85B95">
        <w:rPr>
          <w:i/>
          <w:iCs/>
        </w:rPr>
        <w:t>The Old Testament Library</w:t>
      </w:r>
      <w:r>
        <w:t xml:space="preserve">. Louisville: Westminster John </w:t>
      </w:r>
      <w:r>
        <w:tab/>
        <w:t xml:space="preserve">Knox Press, 1965. </w:t>
      </w:r>
    </w:p>
    <w:p w14:paraId="1AADE543" w14:textId="743E3CDA" w:rsidR="00B10ACB" w:rsidRPr="00B10ACB" w:rsidRDefault="00B878CD" w:rsidP="000A6437">
      <w:r>
        <w:t xml:space="preserve">Hill, Andrew E, and John H. Walton. </w:t>
      </w:r>
      <w:r>
        <w:rPr>
          <w:i/>
          <w:iCs/>
        </w:rPr>
        <w:t>A S</w:t>
      </w:r>
      <w:r w:rsidR="00B10ACB">
        <w:rPr>
          <w:i/>
          <w:iCs/>
        </w:rPr>
        <w:t>urvey of the Old Testament</w:t>
      </w:r>
      <w:r w:rsidR="00B10ACB" w:rsidRPr="00B10ACB">
        <w:t>.</w:t>
      </w:r>
      <w:r w:rsidR="00B10ACB">
        <w:rPr>
          <w:i/>
          <w:iCs/>
        </w:rPr>
        <w:t xml:space="preserve"> </w:t>
      </w:r>
      <w:r w:rsidR="00B10ACB">
        <w:t>2</w:t>
      </w:r>
      <w:r w:rsidR="00B10ACB" w:rsidRPr="00B10ACB">
        <w:rPr>
          <w:vertAlign w:val="superscript"/>
        </w:rPr>
        <w:t>nd</w:t>
      </w:r>
      <w:r w:rsidR="00B10ACB">
        <w:t xml:space="preserve"> edition. Grand Rapids: </w:t>
      </w:r>
      <w:r w:rsidR="00B10ACB">
        <w:tab/>
        <w:t xml:space="preserve">Zondervan, 2000. </w:t>
      </w:r>
    </w:p>
    <w:p w14:paraId="6E6B14F9" w14:textId="00BD3BBF" w:rsidR="000A6437" w:rsidRDefault="000A6437" w:rsidP="000A6437">
      <w:r>
        <w:lastRenderedPageBreak/>
        <w:t>Keil,</w:t>
      </w:r>
      <w:r w:rsidRPr="00F639F3">
        <w:t xml:space="preserve"> </w:t>
      </w:r>
      <w:r>
        <w:t xml:space="preserve">C.F., and F. Delitzch. </w:t>
      </w:r>
      <w:r>
        <w:rPr>
          <w:i/>
          <w:iCs/>
        </w:rPr>
        <w:t>Biblical Commentary on the Books of Samuel</w:t>
      </w:r>
      <w:r>
        <w:t xml:space="preserve">. Grand Rapids: </w:t>
      </w:r>
      <w:r>
        <w:tab/>
        <w:t>Eerdmans, 1956</w:t>
      </w:r>
    </w:p>
    <w:p w14:paraId="1D107B7C" w14:textId="76A9B4AC" w:rsidR="000A6437" w:rsidRDefault="000A6437" w:rsidP="000A6437">
      <w:r>
        <w:t xml:space="preserve">Kirkpatrick, A.F. </w:t>
      </w:r>
      <w:r w:rsidRPr="00ED61F3">
        <w:rPr>
          <w:i/>
          <w:iCs/>
        </w:rPr>
        <w:t>The First Book of Samuel</w:t>
      </w:r>
      <w:r>
        <w:t xml:space="preserve">, The Cambridge Bible for Schools and Colleges. </w:t>
      </w:r>
      <w:r>
        <w:tab/>
        <w:t>Cambridge: Cambridge University Press, 1880.</w:t>
      </w:r>
    </w:p>
    <w:p w14:paraId="1C5E1499" w14:textId="1F94DA30" w:rsidR="000A6437" w:rsidRDefault="000A6437" w:rsidP="000A6437">
      <w:r>
        <w:t xml:space="preserve">Klein, Ralph W. </w:t>
      </w:r>
      <w:r w:rsidRPr="004D3C21">
        <w:rPr>
          <w:i/>
          <w:iCs/>
        </w:rPr>
        <w:t>1 Samuel</w:t>
      </w:r>
      <w:r>
        <w:t xml:space="preserve">. Vol. 10 of the </w:t>
      </w:r>
      <w:r>
        <w:rPr>
          <w:i/>
          <w:iCs/>
        </w:rPr>
        <w:t>Word Biblical Commentary</w:t>
      </w:r>
      <w:r>
        <w:t xml:space="preserve">, edited by David Hubbard </w:t>
      </w:r>
      <w:r>
        <w:tab/>
        <w:t>and Glen W. Barker. Waco: Word Books, Publisher, 1983</w:t>
      </w:r>
      <w:r w:rsidR="0D0ED6BD">
        <w:t>.</w:t>
      </w:r>
    </w:p>
    <w:p w14:paraId="6048EF2C" w14:textId="77777777" w:rsidR="000A6437" w:rsidRDefault="000A6437" w:rsidP="000A6437">
      <w:r>
        <w:t xml:space="preserve">McCarter Jr., P. Kyle. </w:t>
      </w:r>
      <w:r>
        <w:rPr>
          <w:i/>
          <w:iCs/>
        </w:rPr>
        <w:t>II Samuel</w:t>
      </w:r>
      <w:r>
        <w:t xml:space="preserve">. Vol. 9 in </w:t>
      </w:r>
      <w:r w:rsidRPr="008B0AAE">
        <w:rPr>
          <w:i/>
          <w:iCs/>
        </w:rPr>
        <w:t>The Anchor Bible</w:t>
      </w:r>
      <w:r>
        <w:t xml:space="preserve">. New Haven: Yale University </w:t>
      </w:r>
      <w:r>
        <w:tab/>
        <w:t>Press, 1984.</w:t>
      </w:r>
    </w:p>
    <w:p w14:paraId="690C50A9" w14:textId="77777777" w:rsidR="000A6437" w:rsidRDefault="000A6437" w:rsidP="000A6437">
      <w:r>
        <w:t>Metzger,</w:t>
      </w:r>
      <w:r w:rsidRPr="00FC1FBD">
        <w:t xml:space="preserve"> </w:t>
      </w:r>
      <w:r>
        <w:t xml:space="preserve">Bruce M., and Michael D. Coogan, eds. </w:t>
      </w:r>
      <w:r>
        <w:rPr>
          <w:i/>
          <w:iCs/>
        </w:rPr>
        <w:t>The Oxford Companion to the Bible</w:t>
      </w:r>
      <w:r>
        <w:t xml:space="preserve">. Oxford: </w:t>
      </w:r>
      <w:r>
        <w:tab/>
        <w:t>Oxford University Press, 1993.</w:t>
      </w:r>
    </w:p>
    <w:p w14:paraId="187F4FE5" w14:textId="3323DCC5" w:rsidR="000A6437" w:rsidRDefault="0020753A" w:rsidP="000A6437">
      <w:r>
        <w:t xml:space="preserve">__________., </w:t>
      </w:r>
      <w:r w:rsidR="000A6437">
        <w:t xml:space="preserve">and Michael D. Coogan, eds. </w:t>
      </w:r>
      <w:r w:rsidR="000A6437" w:rsidRPr="00F73B73">
        <w:rPr>
          <w:i/>
          <w:iCs/>
        </w:rPr>
        <w:t>Oxford Guide to People &amp; Places of the Bible</w:t>
      </w:r>
      <w:r w:rsidR="000A6437">
        <w:t xml:space="preserve">. </w:t>
      </w:r>
      <w:r w:rsidR="000A6437">
        <w:tab/>
        <w:t xml:space="preserve">Oxford: Oxford University Press, 2001. </w:t>
      </w:r>
    </w:p>
    <w:p w14:paraId="6728B844" w14:textId="77777777" w:rsidR="000A6437" w:rsidRPr="0070064F" w:rsidRDefault="000A6437" w:rsidP="000A6437">
      <w:r>
        <w:t xml:space="preserve">Philbeck Jr., Phil F. “1-2 Samuel.” In </w:t>
      </w:r>
      <w:r>
        <w:rPr>
          <w:i/>
          <w:iCs/>
        </w:rPr>
        <w:t>1 Samuel-</w:t>
      </w:r>
      <w:r w:rsidRPr="000A6C1E">
        <w:rPr>
          <w:i/>
          <w:iCs/>
        </w:rPr>
        <w:t>Nehemiah</w:t>
      </w:r>
      <w:r>
        <w:t xml:space="preserve">. Vol. 3 of </w:t>
      </w:r>
      <w:r>
        <w:rPr>
          <w:i/>
          <w:iCs/>
        </w:rPr>
        <w:t xml:space="preserve">The Brodman Bible </w:t>
      </w:r>
      <w:r>
        <w:rPr>
          <w:i/>
          <w:iCs/>
        </w:rPr>
        <w:tab/>
        <w:t>Commentary</w:t>
      </w:r>
      <w:r w:rsidRPr="000A6C1E">
        <w:t>, ed</w:t>
      </w:r>
      <w:r>
        <w:t>ited by</w:t>
      </w:r>
      <w:r w:rsidRPr="000A6C1E">
        <w:t xml:space="preserve"> Clifton J. Allen</w:t>
      </w:r>
      <w:r>
        <w:t xml:space="preserve">. </w:t>
      </w:r>
      <w:r w:rsidRPr="000A6C1E">
        <w:t>Nashville: Broadman Press, 1970</w:t>
      </w:r>
      <w:r>
        <w:t>.</w:t>
      </w:r>
    </w:p>
    <w:p w14:paraId="5C9AE4A9" w14:textId="231069B5" w:rsidR="000C7001" w:rsidRDefault="00435DE3" w:rsidP="000A6437">
      <w:r>
        <w:t>Rasmussen, Carl G.</w:t>
      </w:r>
      <w:r w:rsidR="000C7001">
        <w:t xml:space="preserve"> </w:t>
      </w:r>
      <w:r w:rsidR="000C7001">
        <w:rPr>
          <w:i/>
          <w:iCs/>
        </w:rPr>
        <w:t xml:space="preserve">Zondervan Essential Atlas of the </w:t>
      </w:r>
      <w:r w:rsidR="000C7001" w:rsidRPr="000C7001">
        <w:rPr>
          <w:i/>
          <w:iCs/>
        </w:rPr>
        <w:t>Bible</w:t>
      </w:r>
      <w:r w:rsidR="000C7001">
        <w:t xml:space="preserve">. </w:t>
      </w:r>
      <w:r w:rsidR="00B60644">
        <w:t xml:space="preserve">Grand Rapids: Zondervan, 2013. </w:t>
      </w:r>
    </w:p>
    <w:p w14:paraId="024F570C" w14:textId="15970F51" w:rsidR="0037546F" w:rsidRPr="003D1473" w:rsidRDefault="003D1473" w:rsidP="000A6437">
      <w:r>
        <w:t xml:space="preserve">Ryken, Leland, and Tremper Longman III. </w:t>
      </w:r>
      <w:r>
        <w:rPr>
          <w:i/>
          <w:iCs/>
        </w:rPr>
        <w:t>A Complete Literary Guide to the Bible</w:t>
      </w:r>
      <w:r w:rsidRPr="003D1473">
        <w:t>.</w:t>
      </w:r>
      <w:r>
        <w:rPr>
          <w:i/>
          <w:iCs/>
        </w:rPr>
        <w:t xml:space="preserve"> </w:t>
      </w:r>
      <w:r w:rsidR="0037546F">
        <w:t xml:space="preserve">Grand </w:t>
      </w:r>
      <w:r w:rsidR="0037546F">
        <w:tab/>
        <w:t xml:space="preserve">Rapids: Zondervan Publish House, 1993. </w:t>
      </w:r>
    </w:p>
    <w:p w14:paraId="2031EBC3" w14:textId="1307B983" w:rsidR="000A6437" w:rsidRDefault="000A6437" w:rsidP="000A6437">
      <w:r w:rsidRPr="000C7001">
        <w:t>Smith</w:t>
      </w:r>
      <w:r>
        <w:t xml:space="preserve">, </w:t>
      </w:r>
      <w:r w:rsidR="00EA65E2">
        <w:t>H.</w:t>
      </w:r>
      <w:r>
        <w:t xml:space="preserve"> P. </w:t>
      </w:r>
      <w:r w:rsidRPr="00D82795">
        <w:rPr>
          <w:i/>
          <w:iCs/>
        </w:rPr>
        <w:t>A Critical and Exegetical Commentary on the Books of</w:t>
      </w:r>
      <w:r>
        <w:t xml:space="preserve"> </w:t>
      </w:r>
      <w:r w:rsidRPr="00CB1170">
        <w:rPr>
          <w:i/>
          <w:iCs/>
        </w:rPr>
        <w:t>Samuel</w:t>
      </w:r>
      <w:r>
        <w:t xml:space="preserve">, The International </w:t>
      </w:r>
      <w:r>
        <w:tab/>
        <w:t>Critical Commentary. Edinburgh: T&amp;T Clark, 1904.</w:t>
      </w:r>
    </w:p>
    <w:p w14:paraId="76F6DC66" w14:textId="4CED7C7F" w:rsidR="000A6437" w:rsidRDefault="5735B89F" w:rsidP="000A6437">
      <w:r>
        <w:t xml:space="preserve">Unger, </w:t>
      </w:r>
      <w:r w:rsidR="21011C76">
        <w:t xml:space="preserve">Merrill F. </w:t>
      </w:r>
      <w:r w:rsidRPr="299CC148">
        <w:rPr>
          <w:i/>
          <w:iCs/>
        </w:rPr>
        <w:t>The New Unger’s Bible Dictionar</w:t>
      </w:r>
      <w:r w:rsidR="15757A76" w:rsidRPr="299CC148">
        <w:rPr>
          <w:i/>
          <w:iCs/>
        </w:rPr>
        <w:t>y</w:t>
      </w:r>
      <w:r w:rsidR="15757A76">
        <w:t xml:space="preserve">. </w:t>
      </w:r>
      <w:r w:rsidR="1E1544B3">
        <w:t>Edit</w:t>
      </w:r>
      <w:r w:rsidR="31307020">
        <w:t xml:space="preserve">ed by </w:t>
      </w:r>
      <w:r w:rsidR="1E1544B3">
        <w:t>R.K. Harrison</w:t>
      </w:r>
      <w:r w:rsidR="7D1D6503">
        <w:t xml:space="preserve">. Chicago: Moody </w:t>
      </w:r>
      <w:r w:rsidR="000A6437">
        <w:tab/>
      </w:r>
      <w:r w:rsidR="7D1D6503">
        <w:t xml:space="preserve">Publishers, </w:t>
      </w:r>
      <w:r w:rsidR="005B13AA">
        <w:t>1988</w:t>
      </w:r>
      <w:r w:rsidR="7D1D6503">
        <w:t xml:space="preserve">. </w:t>
      </w:r>
    </w:p>
    <w:p w14:paraId="362E5043" w14:textId="63380E1B" w:rsidR="000A6437" w:rsidRDefault="000A6437" w:rsidP="000A6437">
      <w:r>
        <w:t xml:space="preserve">Yates, Kyle M. </w:t>
      </w:r>
      <w:r w:rsidRPr="00DE160F">
        <w:rPr>
          <w:i/>
          <w:iCs/>
        </w:rPr>
        <w:t>Preaching from the Prophets</w:t>
      </w:r>
      <w:r>
        <w:t>. Nashville: The Broadman Press, 1942.</w:t>
      </w:r>
    </w:p>
    <w:p w14:paraId="29C9EB90" w14:textId="336759C4" w:rsidR="000A6437" w:rsidRDefault="000A6437" w:rsidP="000A6437">
      <w:r>
        <w:t xml:space="preserve">Youngblood, Ronald F., F.F. Bruce, and R.K. Harrison, eds. </w:t>
      </w:r>
      <w:r>
        <w:rPr>
          <w:i/>
          <w:iCs/>
        </w:rPr>
        <w:t xml:space="preserve">Nelson’s Compact Series: Compact </w:t>
      </w:r>
      <w:r>
        <w:rPr>
          <w:i/>
          <w:iCs/>
        </w:rPr>
        <w:tab/>
        <w:t>Bible Dictionary</w:t>
      </w:r>
      <w:r>
        <w:t>. Nashville: Thomas Nelson, 2004.</w:t>
      </w:r>
    </w:p>
    <w:p w14:paraId="425EC941" w14:textId="77777777" w:rsidR="000A6437" w:rsidRDefault="000A6437" w:rsidP="000A6437">
      <w:r>
        <w:t xml:space="preserve">__________. </w:t>
      </w:r>
      <w:r w:rsidRPr="00135741">
        <w:rPr>
          <w:i/>
          <w:iCs/>
        </w:rPr>
        <w:t>1 &amp; 2 Samuel</w:t>
      </w:r>
      <w:r>
        <w:t xml:space="preserve">. Vol. 3 of the </w:t>
      </w:r>
      <w:r w:rsidRPr="00135741">
        <w:rPr>
          <w:i/>
          <w:iCs/>
        </w:rPr>
        <w:t>Expositor’s Bible Commentary</w:t>
      </w:r>
      <w:r>
        <w:t xml:space="preserve">. Grand Rapids: </w:t>
      </w:r>
      <w:r>
        <w:tab/>
        <w:t>Zondervan, 1992.</w:t>
      </w:r>
    </w:p>
    <w:p w14:paraId="495BA991" w14:textId="77777777" w:rsidR="000A6437" w:rsidRPr="00621D21" w:rsidRDefault="000A6437" w:rsidP="000A6437">
      <w:pPr>
        <w:jc w:val="center"/>
        <w:rPr>
          <w:b/>
          <w:bCs/>
        </w:rPr>
      </w:pPr>
      <w:r w:rsidRPr="00621D21">
        <w:rPr>
          <w:b/>
          <w:bCs/>
        </w:rPr>
        <w:t>Webpages</w:t>
      </w:r>
    </w:p>
    <w:p w14:paraId="5C84E92E" w14:textId="77777777" w:rsidR="000A6437" w:rsidRDefault="000A6437" w:rsidP="000A6437">
      <w:r>
        <w:t xml:space="preserve">Bible Gateway. “Shiloh.” In the Encyclopedia of the Bible. Available from </w:t>
      </w:r>
      <w:r>
        <w:tab/>
      </w:r>
      <w:r w:rsidRPr="003910B0">
        <w:t>https://www.biblegateway.com/</w:t>
      </w:r>
      <w:r>
        <w:t xml:space="preserve"> </w:t>
      </w:r>
      <w:r w:rsidRPr="003910B0">
        <w:t>resources/encyclopedia-of-the-bible/Shiloh</w:t>
      </w:r>
      <w:r>
        <w:t>.</w:t>
      </w:r>
    </w:p>
    <w:p w14:paraId="71F26AD1" w14:textId="77777777" w:rsidR="000A6437" w:rsidRDefault="000A6437" w:rsidP="000A6437">
      <w:r>
        <w:t xml:space="preserve">Crossway Bibles. “Introduction to 1-2 Samuel.” Available from </w:t>
      </w:r>
      <w:r>
        <w:tab/>
      </w:r>
      <w:r w:rsidRPr="002F3926">
        <w:t>https://www.esv.org/resources/esv-global-study-bible/introduction-to-1-2-samuel/</w:t>
      </w:r>
      <w:r>
        <w:t>.</w:t>
      </w:r>
    </w:p>
    <w:p w14:paraId="7704F702" w14:textId="26DE0F58" w:rsidR="009869A4" w:rsidRPr="00DD5A9C" w:rsidRDefault="000A6437" w:rsidP="000A6437">
      <w:r>
        <w:t>The Pew Research Group. “</w:t>
      </w:r>
      <w:r w:rsidRPr="00454C14">
        <w:t xml:space="preserve">U.S. </w:t>
      </w:r>
      <w:r>
        <w:t>C</w:t>
      </w:r>
      <w:r w:rsidRPr="00454C14">
        <w:t xml:space="preserve">hurchgoers are </w:t>
      </w:r>
      <w:r>
        <w:t>S</w:t>
      </w:r>
      <w:r w:rsidRPr="00454C14">
        <w:t xml:space="preserve">atisfied with the </w:t>
      </w:r>
      <w:r>
        <w:t>S</w:t>
      </w:r>
      <w:r w:rsidRPr="00454C14">
        <w:t xml:space="preserve">ermons </w:t>
      </w:r>
      <w:r>
        <w:t>T</w:t>
      </w:r>
      <w:r w:rsidRPr="00454C14">
        <w:t xml:space="preserve">hey </w:t>
      </w:r>
      <w:r>
        <w:t>H</w:t>
      </w:r>
      <w:r w:rsidRPr="00454C14">
        <w:t xml:space="preserve">ear, </w:t>
      </w:r>
      <w:r>
        <w:t>T</w:t>
      </w:r>
      <w:r w:rsidRPr="00454C14">
        <w:t xml:space="preserve">hough </w:t>
      </w:r>
      <w:r>
        <w:tab/>
        <w:t>C</w:t>
      </w:r>
      <w:r w:rsidRPr="00454C14">
        <w:t xml:space="preserve">ontent </w:t>
      </w:r>
      <w:r>
        <w:t>V</w:t>
      </w:r>
      <w:r w:rsidRPr="00454C14">
        <w:t xml:space="preserve">aries by </w:t>
      </w:r>
      <w:r>
        <w:t>R</w:t>
      </w:r>
      <w:r w:rsidRPr="00454C14">
        <w:t xml:space="preserve">eligious </w:t>
      </w:r>
      <w:r>
        <w:t>T</w:t>
      </w:r>
      <w:r w:rsidRPr="00454C14">
        <w:t>radition</w:t>
      </w:r>
      <w:r>
        <w:t xml:space="preserve">.” Available from </w:t>
      </w:r>
      <w:r>
        <w:tab/>
      </w:r>
      <w:r w:rsidRPr="00647DD0">
        <w:t>https://www.pewresearch.org/short-reads/2020/01/28/u-s-churchgoers-are-satisfied-with-</w:t>
      </w:r>
      <w:r>
        <w:lastRenderedPageBreak/>
        <w:tab/>
      </w:r>
      <w:r w:rsidRPr="00A17327">
        <w:t>the-sermons-they-hear-though-content-varies-by-religious-</w:t>
      </w:r>
      <w:r>
        <w:tab/>
      </w:r>
      <w:r w:rsidRPr="00A17327">
        <w:t>tradition/#:~:text=At%20</w:t>
      </w:r>
      <w:r>
        <w:t xml:space="preserve"> </w:t>
      </w:r>
      <w:r>
        <w:tab/>
      </w:r>
      <w:r w:rsidRPr="00A17327">
        <w:t>least%20one%20book</w:t>
      </w:r>
      <w:r w:rsidRPr="00CC2886">
        <w:t>%20from,the%</w:t>
      </w:r>
      <w:r>
        <w:t xml:space="preserve"> </w:t>
      </w:r>
      <w:r w:rsidRPr="00CC2886">
        <w:t>20New</w:t>
      </w:r>
      <w:r>
        <w:t xml:space="preserve"> </w:t>
      </w:r>
      <w:r w:rsidRPr="00CC2886">
        <w:t>%20and%20Old%20Testaments.</w:t>
      </w:r>
    </w:p>
    <w:sectPr w:rsidR="009869A4" w:rsidRPr="00DD5A9C" w:rsidSect="00885A7D">
      <w:headerReference w:type="default" r:id="rId11"/>
      <w:footnotePr>
        <w:pos w:val="beneathTex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DEC1A" w14:textId="77777777" w:rsidR="00885A7D" w:rsidRDefault="00885A7D" w:rsidP="002A3AF6">
      <w:pPr>
        <w:spacing w:after="0" w:line="240" w:lineRule="auto"/>
      </w:pPr>
      <w:r>
        <w:separator/>
      </w:r>
    </w:p>
  </w:endnote>
  <w:endnote w:type="continuationSeparator" w:id="0">
    <w:p w14:paraId="581E257F" w14:textId="77777777" w:rsidR="00885A7D" w:rsidRDefault="00885A7D" w:rsidP="002A3AF6">
      <w:pPr>
        <w:spacing w:after="0" w:line="240" w:lineRule="auto"/>
      </w:pPr>
      <w:r>
        <w:continuationSeparator/>
      </w:r>
    </w:p>
  </w:endnote>
  <w:endnote w:type="continuationNotice" w:id="1">
    <w:p w14:paraId="3C519332" w14:textId="77777777" w:rsidR="00885A7D" w:rsidRDefault="00885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EB030" w14:textId="77777777" w:rsidR="00885A7D" w:rsidRDefault="00885A7D" w:rsidP="002A3AF6">
      <w:pPr>
        <w:spacing w:after="0" w:line="240" w:lineRule="auto"/>
      </w:pPr>
      <w:r>
        <w:separator/>
      </w:r>
    </w:p>
  </w:footnote>
  <w:footnote w:type="continuationSeparator" w:id="0">
    <w:p w14:paraId="6E1DF538" w14:textId="77777777" w:rsidR="00885A7D" w:rsidRDefault="00885A7D" w:rsidP="002A3AF6">
      <w:pPr>
        <w:spacing w:after="0" w:line="240" w:lineRule="auto"/>
      </w:pPr>
      <w:r>
        <w:continuationSeparator/>
      </w:r>
    </w:p>
  </w:footnote>
  <w:footnote w:type="continuationNotice" w:id="1">
    <w:p w14:paraId="7A345F7C" w14:textId="77777777" w:rsidR="00885A7D" w:rsidRDefault="00885A7D">
      <w:pPr>
        <w:spacing w:after="0" w:line="240" w:lineRule="auto"/>
      </w:pPr>
    </w:p>
  </w:footnote>
  <w:footnote w:id="2">
    <w:p w14:paraId="2B5E0857" w14:textId="6FE81D86" w:rsidR="00A02B13" w:rsidRDefault="001834C6">
      <w:pPr>
        <w:pStyle w:val="FootnoteText"/>
      </w:pPr>
      <w:r>
        <w:tab/>
      </w:r>
      <w:r w:rsidR="00A02B13">
        <w:rPr>
          <w:rStyle w:val="FootnoteReference"/>
        </w:rPr>
        <w:footnoteRef/>
      </w:r>
      <w:r w:rsidR="004E7E7D">
        <w:t>The Pew Research Group,</w:t>
      </w:r>
      <w:r w:rsidR="00A02B13">
        <w:t xml:space="preserve"> </w:t>
      </w:r>
      <w:r w:rsidR="00454C14">
        <w:t>“</w:t>
      </w:r>
      <w:r w:rsidR="00454C14" w:rsidRPr="00454C14">
        <w:t xml:space="preserve">U.S. </w:t>
      </w:r>
      <w:r w:rsidR="004E7E7D">
        <w:t>C</w:t>
      </w:r>
      <w:r w:rsidR="00454C14" w:rsidRPr="00454C14">
        <w:t xml:space="preserve">hurchgoers are </w:t>
      </w:r>
      <w:r w:rsidR="004E7E7D">
        <w:t>S</w:t>
      </w:r>
      <w:r w:rsidR="00454C14" w:rsidRPr="00454C14">
        <w:t xml:space="preserve">atisfied with the </w:t>
      </w:r>
      <w:r w:rsidR="004E7E7D">
        <w:t>S</w:t>
      </w:r>
      <w:r w:rsidR="00454C14" w:rsidRPr="00454C14">
        <w:t xml:space="preserve">ermons </w:t>
      </w:r>
      <w:r w:rsidR="004E7E7D">
        <w:t>T</w:t>
      </w:r>
      <w:r w:rsidR="00454C14" w:rsidRPr="00454C14">
        <w:t xml:space="preserve">hey </w:t>
      </w:r>
      <w:r w:rsidR="004E7E7D">
        <w:t>H</w:t>
      </w:r>
      <w:r w:rsidR="00454C14" w:rsidRPr="00454C14">
        <w:t xml:space="preserve">ear, </w:t>
      </w:r>
      <w:r w:rsidR="004E7E7D">
        <w:t>T</w:t>
      </w:r>
      <w:r w:rsidR="00454C14" w:rsidRPr="00454C14">
        <w:t xml:space="preserve">hough </w:t>
      </w:r>
      <w:r w:rsidR="004E7E7D">
        <w:t>C</w:t>
      </w:r>
      <w:r w:rsidR="00454C14" w:rsidRPr="00454C14">
        <w:t xml:space="preserve">ontent </w:t>
      </w:r>
      <w:r w:rsidR="004E7E7D">
        <w:t>V</w:t>
      </w:r>
      <w:r w:rsidR="00454C14" w:rsidRPr="00454C14">
        <w:t xml:space="preserve">aries by </w:t>
      </w:r>
      <w:r w:rsidR="004E7E7D">
        <w:t>R</w:t>
      </w:r>
      <w:r w:rsidR="00454C14" w:rsidRPr="00454C14">
        <w:t xml:space="preserve">eligious </w:t>
      </w:r>
      <w:r w:rsidR="004E7E7D">
        <w:t>T</w:t>
      </w:r>
      <w:r w:rsidR="00454C14" w:rsidRPr="00454C14">
        <w:t>radition</w:t>
      </w:r>
      <w:r w:rsidR="00454C14">
        <w:t xml:space="preserve">,” available from </w:t>
      </w:r>
      <w:r w:rsidR="002F1503" w:rsidRPr="002F1503">
        <w:t>https://www.pewresearch.org/short-reads/2020/01/28/u-s-churchgoers-are-satisfied-with-the-sermons-they-hear-though-content-varies-by-religious-tradition/#:~:text=At%20least%20one%</w:t>
      </w:r>
      <w:r w:rsidR="00A17327" w:rsidRPr="00A17327">
        <w:t>20book</w:t>
      </w:r>
      <w:r w:rsidR="00CC2886" w:rsidRPr="00CC2886">
        <w:t>%20from,the%</w:t>
      </w:r>
      <w:r w:rsidR="00A17327">
        <w:t xml:space="preserve"> </w:t>
      </w:r>
      <w:r w:rsidR="00CC2886" w:rsidRPr="00CC2886">
        <w:t>20New</w:t>
      </w:r>
      <w:r w:rsidR="00A17327">
        <w:t xml:space="preserve"> </w:t>
      </w:r>
      <w:r w:rsidR="00CC2886" w:rsidRPr="00CC2886">
        <w:t>%20and%20Old%20Testaments.</w:t>
      </w:r>
    </w:p>
  </w:footnote>
  <w:footnote w:id="3">
    <w:p w14:paraId="4E2D2B30" w14:textId="418B45CF" w:rsidR="00121AE6" w:rsidRPr="003041D9" w:rsidRDefault="001834C6">
      <w:pPr>
        <w:pStyle w:val="FootnoteText"/>
      </w:pPr>
      <w:r>
        <w:tab/>
      </w:r>
      <w:r w:rsidR="005513E2">
        <w:rPr>
          <w:rStyle w:val="FootnoteReference"/>
        </w:rPr>
        <w:footnoteRef/>
      </w:r>
      <w:r w:rsidR="005513E2">
        <w:t xml:space="preserve"> </w:t>
      </w:r>
      <w:r w:rsidR="00F40B70">
        <w:t xml:space="preserve">Bill T. Arnold and Bryan E. Byer’s book, </w:t>
      </w:r>
      <w:r w:rsidR="00F40B70">
        <w:rPr>
          <w:i/>
          <w:iCs/>
        </w:rPr>
        <w:t>Encountering the Old Testament: A Christian Survey</w:t>
      </w:r>
      <w:r w:rsidR="003041D9">
        <w:t xml:space="preserve">, </w:t>
      </w:r>
      <w:r w:rsidR="007F18EE">
        <w:t>3</w:t>
      </w:r>
      <w:r w:rsidR="007F18EE" w:rsidRPr="007F18EE">
        <w:rPr>
          <w:vertAlign w:val="superscript"/>
        </w:rPr>
        <w:t>rd</w:t>
      </w:r>
      <w:r w:rsidR="007F18EE">
        <w:t xml:space="preserve"> e</w:t>
      </w:r>
      <w:r w:rsidR="003041D9">
        <w:t>d</w:t>
      </w:r>
      <w:r w:rsidR="003D434D">
        <w:t>.,</w:t>
      </w:r>
      <w:r w:rsidR="003041D9">
        <w:t xml:space="preserve"> (Grand Rapids: Baker Academic, 2008), </w:t>
      </w:r>
      <w:r w:rsidR="0066658D">
        <w:t>131-139</w:t>
      </w:r>
      <w:r w:rsidR="00DB3BAA">
        <w:t xml:space="preserve">. </w:t>
      </w:r>
    </w:p>
  </w:footnote>
  <w:footnote w:id="4">
    <w:p w14:paraId="77A7009B" w14:textId="0936DC9D" w:rsidR="005A2394" w:rsidRPr="0014346F" w:rsidRDefault="001834C6" w:rsidP="005A2394">
      <w:pPr>
        <w:pStyle w:val="FootnoteText"/>
      </w:pPr>
      <w:r>
        <w:tab/>
      </w:r>
      <w:r w:rsidR="005A2394">
        <w:rPr>
          <w:rStyle w:val="FootnoteReference"/>
        </w:rPr>
        <w:footnoteRef/>
      </w:r>
      <w:r w:rsidR="005A2394">
        <w:t xml:space="preserve"> Of course, the book of Ruth comes directly before 1 Samuel. Ruth </w:t>
      </w:r>
      <w:r w:rsidR="005A2394" w:rsidRPr="0014346F">
        <w:t>take</w:t>
      </w:r>
      <w:r w:rsidR="00514173">
        <w:t>s</w:t>
      </w:r>
      <w:r w:rsidR="005A2394" w:rsidRPr="0014346F">
        <w:t xml:space="preserve"> place sometime during or directly after the period of the </w:t>
      </w:r>
      <w:r w:rsidR="0038300A">
        <w:t>J</w:t>
      </w:r>
      <w:r w:rsidR="005A2394" w:rsidRPr="0014346F">
        <w:t>udges</w:t>
      </w:r>
      <w:r w:rsidR="005A2394">
        <w:t>.</w:t>
      </w:r>
    </w:p>
    <w:p w14:paraId="5CCF3231" w14:textId="77777777" w:rsidR="005A2394" w:rsidRDefault="005A2394" w:rsidP="005A2394">
      <w:pPr>
        <w:pStyle w:val="FootnoteText"/>
      </w:pPr>
      <w:r>
        <w:t xml:space="preserve"> </w:t>
      </w:r>
    </w:p>
  </w:footnote>
  <w:footnote w:id="5">
    <w:p w14:paraId="5A7D29AC" w14:textId="3202EAEF" w:rsidR="00E20FDD" w:rsidRDefault="001834C6">
      <w:pPr>
        <w:pStyle w:val="FootnoteText"/>
      </w:pPr>
      <w:r>
        <w:tab/>
      </w:r>
      <w:r w:rsidR="00E20FDD">
        <w:rPr>
          <w:rStyle w:val="FootnoteReference"/>
        </w:rPr>
        <w:footnoteRef/>
      </w:r>
      <w:r w:rsidR="00E20FDD">
        <w:t xml:space="preserve"> </w:t>
      </w:r>
      <w:r w:rsidR="00F4194E">
        <w:t xml:space="preserve">The authors of the LXX seem to have </w:t>
      </w:r>
      <w:r w:rsidR="00955984">
        <w:t>divided</w:t>
      </w:r>
      <w:r w:rsidR="00F4194E">
        <w:t xml:space="preserve"> the </w:t>
      </w:r>
      <w:r w:rsidR="003658AE">
        <w:t>texts into books because of the length of the narrative, not the content. In other words, they “preferred to divide longer books into units that would fit on</w:t>
      </w:r>
      <w:r w:rsidR="00557AFE">
        <w:t xml:space="preserve"> </w:t>
      </w:r>
      <w:r w:rsidR="00955984">
        <w:t>a standard-sized scroll</w:t>
      </w:r>
      <w:r w:rsidR="003658AE">
        <w:t xml:space="preserve">.” See </w:t>
      </w:r>
      <w:r w:rsidR="00953E0F">
        <w:t xml:space="preserve">Robert D. Bergen, </w:t>
      </w:r>
      <w:r w:rsidR="00953E0F" w:rsidRPr="00AE58A2">
        <w:rPr>
          <w:i/>
          <w:iCs/>
        </w:rPr>
        <w:t>1, 2 Samuel</w:t>
      </w:r>
      <w:r w:rsidR="00953E0F">
        <w:t>, v</w:t>
      </w:r>
      <w:r w:rsidR="00953E0F" w:rsidRPr="007A3CDA">
        <w:t xml:space="preserve">ol. </w:t>
      </w:r>
      <w:r w:rsidR="00953E0F">
        <w:t>7</w:t>
      </w:r>
      <w:r w:rsidR="00953E0F" w:rsidRPr="007A3CDA">
        <w:t xml:space="preserve"> of </w:t>
      </w:r>
      <w:r w:rsidR="00953E0F" w:rsidRPr="00D70EEB">
        <w:rPr>
          <w:i/>
          <w:iCs/>
        </w:rPr>
        <w:t>T</w:t>
      </w:r>
      <w:r w:rsidR="00953E0F" w:rsidRPr="00AE58A2">
        <w:rPr>
          <w:i/>
          <w:iCs/>
        </w:rPr>
        <w:t>he New American Commentary</w:t>
      </w:r>
      <w:r w:rsidR="00953E0F" w:rsidRPr="007A3CDA">
        <w:t>, ed</w:t>
      </w:r>
      <w:r w:rsidR="00953E0F">
        <w:t>.</w:t>
      </w:r>
      <w:r w:rsidR="00953E0F" w:rsidRPr="007A3CDA">
        <w:t xml:space="preserve"> by E. Ray Clendenen</w:t>
      </w:r>
      <w:r w:rsidR="00953E0F">
        <w:t xml:space="preserve"> (</w:t>
      </w:r>
      <w:r w:rsidR="00953E0F" w:rsidRPr="007A3CDA">
        <w:t>Nashville: Broadman and Holman, 1996</w:t>
      </w:r>
      <w:r w:rsidR="00953E0F">
        <w:t>),</w:t>
      </w:r>
      <w:r w:rsidR="001262FA">
        <w:t xml:space="preserve"> </w:t>
      </w:r>
      <w:r w:rsidR="005764D5">
        <w:t xml:space="preserve">18. </w:t>
      </w:r>
    </w:p>
    <w:p w14:paraId="3E9640E9" w14:textId="77777777" w:rsidR="00557AFE" w:rsidRDefault="00557AFE">
      <w:pPr>
        <w:pStyle w:val="FootnoteText"/>
      </w:pPr>
    </w:p>
  </w:footnote>
  <w:footnote w:id="6">
    <w:p w14:paraId="1BB963BD" w14:textId="4AEE54F7" w:rsidR="004378BA" w:rsidRDefault="001834C6">
      <w:pPr>
        <w:pStyle w:val="FootnoteText"/>
      </w:pPr>
      <w:r>
        <w:tab/>
      </w:r>
      <w:r w:rsidR="004378BA">
        <w:rPr>
          <w:rStyle w:val="FootnoteReference"/>
        </w:rPr>
        <w:footnoteRef/>
      </w:r>
      <w:r w:rsidR="00422107">
        <w:t xml:space="preserve"> </w:t>
      </w:r>
      <w:r w:rsidR="00953E0F">
        <w:t xml:space="preserve">Bergen, </w:t>
      </w:r>
      <w:r w:rsidR="00953E0F" w:rsidRPr="00953E0F">
        <w:rPr>
          <w:i/>
          <w:iCs/>
        </w:rPr>
        <w:t>NAC</w:t>
      </w:r>
      <w:r w:rsidR="00422107">
        <w:t>,</w:t>
      </w:r>
      <w:r w:rsidR="004378BA">
        <w:t xml:space="preserve"> 19. </w:t>
      </w:r>
    </w:p>
    <w:p w14:paraId="0DAC0D39" w14:textId="77777777" w:rsidR="004378BA" w:rsidRDefault="004378BA">
      <w:pPr>
        <w:pStyle w:val="FootnoteText"/>
      </w:pPr>
    </w:p>
  </w:footnote>
  <w:footnote w:id="7">
    <w:p w14:paraId="05745473" w14:textId="4A116D8C" w:rsidR="00AA4E2E" w:rsidRPr="00A42A42" w:rsidRDefault="001834C6">
      <w:pPr>
        <w:pStyle w:val="FootnoteText"/>
      </w:pPr>
      <w:r>
        <w:tab/>
      </w:r>
      <w:r w:rsidR="00AA4E2E">
        <w:rPr>
          <w:rStyle w:val="FootnoteReference"/>
        </w:rPr>
        <w:footnoteRef/>
      </w:r>
      <w:r>
        <w:t xml:space="preserve"> </w:t>
      </w:r>
      <w:r w:rsidR="00970E94">
        <w:t xml:space="preserve">For more information see the following: </w:t>
      </w:r>
      <w:r w:rsidR="00753D73">
        <w:t xml:space="preserve">Stephen J. </w:t>
      </w:r>
      <w:r w:rsidR="005F1ACC">
        <w:t xml:space="preserve">Andrews and </w:t>
      </w:r>
      <w:r w:rsidR="00A23ED3">
        <w:t xml:space="preserve">Robert D. </w:t>
      </w:r>
      <w:r w:rsidR="005F1ACC">
        <w:t>Bergen</w:t>
      </w:r>
      <w:r w:rsidR="00FC3D92">
        <w:t xml:space="preserve">, </w:t>
      </w:r>
      <w:r w:rsidR="00FC3D92">
        <w:rPr>
          <w:i/>
          <w:iCs/>
        </w:rPr>
        <w:t xml:space="preserve">1&amp;2 </w:t>
      </w:r>
      <w:r w:rsidR="00FC3D92" w:rsidRPr="005D0699">
        <w:rPr>
          <w:i/>
          <w:iCs/>
        </w:rPr>
        <w:t>Samuel</w:t>
      </w:r>
      <w:r w:rsidR="00FC3D92">
        <w:t xml:space="preserve">, </w:t>
      </w:r>
      <w:r w:rsidR="008033DF">
        <w:t xml:space="preserve">vol. 6 of the </w:t>
      </w:r>
      <w:r w:rsidR="008033DF">
        <w:rPr>
          <w:i/>
          <w:iCs/>
        </w:rPr>
        <w:t>Holman Old Testament Commentary</w:t>
      </w:r>
      <w:r w:rsidR="00FC5B88">
        <w:t xml:space="preserve">, ed. Max Anders (Nashville: Holman Reference, 2009), </w:t>
      </w:r>
      <w:r w:rsidR="005F2B97">
        <w:t>1-2</w:t>
      </w:r>
      <w:r w:rsidR="00FC5B88">
        <w:t>;</w:t>
      </w:r>
      <w:r w:rsidR="006B07DC">
        <w:t xml:space="preserve"> </w:t>
      </w:r>
      <w:r w:rsidR="00FC5B88">
        <w:t xml:space="preserve">Arnold, </w:t>
      </w:r>
      <w:r w:rsidR="003B62C0" w:rsidRPr="00000FEE">
        <w:rPr>
          <w:i/>
          <w:iCs/>
        </w:rPr>
        <w:t>TNAC</w:t>
      </w:r>
      <w:r w:rsidR="00DA0A39">
        <w:t>, 25-28</w:t>
      </w:r>
      <w:r w:rsidR="00FC5B88">
        <w:t xml:space="preserve">; </w:t>
      </w:r>
      <w:r w:rsidR="006904BB">
        <w:t>Bergen</w:t>
      </w:r>
      <w:r w:rsidR="007B6A24">
        <w:t>,</w:t>
      </w:r>
      <w:r w:rsidR="00B65A18">
        <w:t xml:space="preserve"> </w:t>
      </w:r>
      <w:r w:rsidR="00B65A18" w:rsidRPr="00B65A18">
        <w:rPr>
          <w:i/>
          <w:iCs/>
        </w:rPr>
        <w:t>NAC</w:t>
      </w:r>
      <w:r w:rsidR="00B65A18">
        <w:t>,</w:t>
      </w:r>
      <w:r w:rsidR="007B6A24">
        <w:t xml:space="preserve"> 18-</w:t>
      </w:r>
      <w:r w:rsidR="00A42A42">
        <w:t>25</w:t>
      </w:r>
      <w:r w:rsidR="006B07DC">
        <w:t>;</w:t>
      </w:r>
      <w:r w:rsidR="00A42A42">
        <w:t xml:space="preserve"> and </w:t>
      </w:r>
      <w:r w:rsidR="004D3C21">
        <w:t xml:space="preserve">Ralph W. </w:t>
      </w:r>
      <w:r w:rsidR="00A42A42">
        <w:t>Klein</w:t>
      </w:r>
      <w:r w:rsidR="004D3C21">
        <w:t xml:space="preserve">, </w:t>
      </w:r>
      <w:r w:rsidR="004D3C21" w:rsidRPr="004D3C21">
        <w:rPr>
          <w:i/>
          <w:iCs/>
        </w:rPr>
        <w:t>1 Samuel</w:t>
      </w:r>
      <w:r w:rsidR="004D3C21">
        <w:t xml:space="preserve">, vol. 10 of </w:t>
      </w:r>
      <w:r w:rsidR="00A42A42">
        <w:t xml:space="preserve">the </w:t>
      </w:r>
      <w:r w:rsidR="00A42A42">
        <w:rPr>
          <w:i/>
          <w:iCs/>
        </w:rPr>
        <w:t xml:space="preserve">Word </w:t>
      </w:r>
      <w:r w:rsidR="00843639">
        <w:rPr>
          <w:i/>
          <w:iCs/>
        </w:rPr>
        <w:t>Biblical</w:t>
      </w:r>
      <w:r w:rsidR="00A42A42">
        <w:rPr>
          <w:i/>
          <w:iCs/>
        </w:rPr>
        <w:t xml:space="preserve"> </w:t>
      </w:r>
      <w:r w:rsidR="00C05B42">
        <w:rPr>
          <w:i/>
          <w:iCs/>
        </w:rPr>
        <w:t>Commentary</w:t>
      </w:r>
      <w:r w:rsidR="00C05B42">
        <w:t>, eds.</w:t>
      </w:r>
      <w:r w:rsidR="00CF7A05">
        <w:t xml:space="preserve"> David Hubbard and Glen W. Barker (Waco: Word Books, Publisher</w:t>
      </w:r>
      <w:r w:rsidR="00C05B42">
        <w:t xml:space="preserve">, 1983), </w:t>
      </w:r>
      <w:r w:rsidR="00A61128">
        <w:t>xxviii</w:t>
      </w:r>
      <w:r w:rsidR="00843639">
        <w:t>-xxxii.</w:t>
      </w:r>
    </w:p>
    <w:p w14:paraId="699FCAF9" w14:textId="77777777" w:rsidR="00B20549" w:rsidRDefault="00B20549">
      <w:pPr>
        <w:pStyle w:val="FootnoteText"/>
      </w:pPr>
    </w:p>
  </w:footnote>
  <w:footnote w:id="8">
    <w:p w14:paraId="3578C193" w14:textId="19A4806F" w:rsidR="00BD4FB2" w:rsidRDefault="001834C6">
      <w:pPr>
        <w:pStyle w:val="FootnoteText"/>
      </w:pPr>
      <w:r>
        <w:tab/>
      </w:r>
      <w:r w:rsidR="00BD4FB2">
        <w:rPr>
          <w:rStyle w:val="FootnoteReference"/>
        </w:rPr>
        <w:footnoteRef/>
      </w:r>
      <w:r w:rsidR="00BD4FB2">
        <w:t xml:space="preserve"> Andrews and Bergen, </w:t>
      </w:r>
      <w:r w:rsidR="00D65CA0">
        <w:rPr>
          <w:i/>
          <w:iCs/>
        </w:rPr>
        <w:t xml:space="preserve">HOTC, </w:t>
      </w:r>
      <w:r w:rsidR="00BD4FB2">
        <w:t xml:space="preserve">2. </w:t>
      </w:r>
    </w:p>
    <w:p w14:paraId="6C845394" w14:textId="77777777" w:rsidR="00BD4FB2" w:rsidRDefault="00BD4FB2">
      <w:pPr>
        <w:pStyle w:val="FootnoteText"/>
      </w:pPr>
    </w:p>
  </w:footnote>
  <w:footnote w:id="9">
    <w:p w14:paraId="46C348EC" w14:textId="56DFDD5E" w:rsidR="006F77DE" w:rsidRDefault="001834C6">
      <w:pPr>
        <w:pStyle w:val="FootnoteText"/>
      </w:pPr>
      <w:r>
        <w:tab/>
      </w:r>
      <w:r w:rsidR="006F77DE">
        <w:rPr>
          <w:rStyle w:val="FootnoteReference"/>
        </w:rPr>
        <w:footnoteRef/>
      </w:r>
      <w:r w:rsidR="006F77DE">
        <w:t xml:space="preserve"> </w:t>
      </w:r>
      <w:r w:rsidR="004A2C47">
        <w:t xml:space="preserve">This section offers a 30,000-foot-view of issues related to the composition of 1-2 Samuel. For a fuller treatment of this topic, see </w:t>
      </w:r>
      <w:r w:rsidR="001B69B7">
        <w:t>Bergen,</w:t>
      </w:r>
      <w:r w:rsidR="00D65CA0">
        <w:t xml:space="preserve"> </w:t>
      </w:r>
      <w:r w:rsidR="00D65CA0" w:rsidRPr="00D65CA0">
        <w:rPr>
          <w:i/>
          <w:iCs/>
        </w:rPr>
        <w:t>NAC</w:t>
      </w:r>
      <w:r w:rsidR="00D65CA0">
        <w:t>,</w:t>
      </w:r>
      <w:r w:rsidR="001B69B7">
        <w:t xml:space="preserve"> </w:t>
      </w:r>
      <w:r w:rsidR="002A1E9F">
        <w:t>18-27</w:t>
      </w:r>
      <w:r w:rsidR="00A60495">
        <w:t>; Klein,</w:t>
      </w:r>
      <w:r w:rsidR="006F0B8E">
        <w:t xml:space="preserve"> </w:t>
      </w:r>
      <w:r w:rsidR="006F0B8E" w:rsidRPr="006F0B8E">
        <w:rPr>
          <w:i/>
          <w:iCs/>
        </w:rPr>
        <w:t>WBC</w:t>
      </w:r>
      <w:r w:rsidR="006F0B8E">
        <w:t>,</w:t>
      </w:r>
      <w:r w:rsidR="00A60495">
        <w:t xml:space="preserve"> </w:t>
      </w:r>
      <w:r w:rsidR="00BA65BE">
        <w:t xml:space="preserve">xxvi-xxxii; </w:t>
      </w:r>
      <w:r w:rsidR="00AF0B61">
        <w:t xml:space="preserve">and Phil F. </w:t>
      </w:r>
      <w:r w:rsidR="00BA65BE">
        <w:t>Philbeck Jr</w:t>
      </w:r>
      <w:r w:rsidR="002A5C12">
        <w:t>.</w:t>
      </w:r>
      <w:r w:rsidR="00BA65BE">
        <w:t xml:space="preserve">, </w:t>
      </w:r>
      <w:r w:rsidR="00AF0B61">
        <w:t xml:space="preserve">“1-2 Samuel,” in </w:t>
      </w:r>
      <w:r w:rsidR="00475D19">
        <w:rPr>
          <w:i/>
          <w:iCs/>
        </w:rPr>
        <w:t>1 Samuel-</w:t>
      </w:r>
      <w:r w:rsidR="00475D19" w:rsidRPr="000A6C1E">
        <w:rPr>
          <w:i/>
          <w:iCs/>
        </w:rPr>
        <w:t>Nehemiah</w:t>
      </w:r>
      <w:r w:rsidR="00475D19">
        <w:t xml:space="preserve">, vol. 6 of </w:t>
      </w:r>
      <w:r w:rsidR="00475D19">
        <w:rPr>
          <w:i/>
          <w:iCs/>
        </w:rPr>
        <w:t>The Brodman Bible Commentary</w:t>
      </w:r>
      <w:r w:rsidR="00475D19" w:rsidRPr="000A6C1E">
        <w:t>, ed. Clifton J. Allen (</w:t>
      </w:r>
      <w:r w:rsidR="000A6C1E" w:rsidRPr="000A6C1E">
        <w:t>Nashville</w:t>
      </w:r>
      <w:r w:rsidR="00475D19" w:rsidRPr="000A6C1E">
        <w:t xml:space="preserve">: </w:t>
      </w:r>
      <w:r w:rsidR="000A6C1E" w:rsidRPr="000A6C1E">
        <w:t>Broadman Press, 1970</w:t>
      </w:r>
      <w:r w:rsidR="000A6C1E">
        <w:rPr>
          <w:i/>
          <w:iCs/>
        </w:rPr>
        <w:t xml:space="preserve">), </w:t>
      </w:r>
      <w:r w:rsidR="002A5C12" w:rsidRPr="00475D19">
        <w:t>3</w:t>
      </w:r>
      <w:r w:rsidR="002A5C12">
        <w:t xml:space="preserve">-7. </w:t>
      </w:r>
    </w:p>
    <w:p w14:paraId="01FA288E" w14:textId="77777777" w:rsidR="006F77DE" w:rsidRDefault="006F77DE">
      <w:pPr>
        <w:pStyle w:val="FootnoteText"/>
      </w:pPr>
    </w:p>
  </w:footnote>
  <w:footnote w:id="10">
    <w:p w14:paraId="4ACE30E2" w14:textId="653C3E15" w:rsidR="00100FC5" w:rsidRDefault="001834C6">
      <w:pPr>
        <w:pStyle w:val="FootnoteText"/>
      </w:pPr>
      <w:r>
        <w:tab/>
      </w:r>
      <w:r w:rsidR="00100FC5">
        <w:rPr>
          <w:rStyle w:val="FootnoteReference"/>
        </w:rPr>
        <w:footnoteRef/>
      </w:r>
      <w:r w:rsidR="00100FC5">
        <w:t xml:space="preserve"> Arnold, </w:t>
      </w:r>
      <w:r w:rsidR="00000FEE" w:rsidRPr="00000FEE">
        <w:rPr>
          <w:i/>
          <w:iCs/>
        </w:rPr>
        <w:t>TNAC</w:t>
      </w:r>
      <w:r w:rsidR="00000FEE">
        <w:t xml:space="preserve">, </w:t>
      </w:r>
      <w:r w:rsidR="002256FA">
        <w:t xml:space="preserve">26. </w:t>
      </w:r>
    </w:p>
    <w:p w14:paraId="0D0AA7E4" w14:textId="77777777" w:rsidR="002256FA" w:rsidRDefault="002256FA">
      <w:pPr>
        <w:pStyle w:val="FootnoteText"/>
      </w:pPr>
    </w:p>
  </w:footnote>
  <w:footnote w:id="11">
    <w:p w14:paraId="1D557756" w14:textId="53268AC9" w:rsidR="00BC581D" w:rsidRDefault="001834C6">
      <w:pPr>
        <w:pStyle w:val="FootnoteText"/>
      </w:pPr>
      <w:r>
        <w:tab/>
      </w:r>
      <w:r w:rsidR="00BC581D">
        <w:rPr>
          <w:rStyle w:val="FootnoteReference"/>
        </w:rPr>
        <w:footnoteRef/>
      </w:r>
      <w:r w:rsidR="00BC581D">
        <w:t xml:space="preserve"> Arnold, </w:t>
      </w:r>
      <w:r w:rsidR="00AC32EA" w:rsidRPr="00AC32EA">
        <w:rPr>
          <w:i/>
          <w:iCs/>
        </w:rPr>
        <w:t>TNAC</w:t>
      </w:r>
      <w:r w:rsidR="00AC32EA" w:rsidRPr="00AC32EA">
        <w:t>,</w:t>
      </w:r>
      <w:r w:rsidR="00AC32EA">
        <w:rPr>
          <w:i/>
          <w:iCs/>
        </w:rPr>
        <w:t xml:space="preserve"> </w:t>
      </w:r>
      <w:r w:rsidR="00BC581D" w:rsidRPr="00AC32EA">
        <w:rPr>
          <w:i/>
          <w:iCs/>
        </w:rPr>
        <w:t>26</w:t>
      </w:r>
      <w:r w:rsidR="00BC581D">
        <w:t xml:space="preserve">-27. </w:t>
      </w:r>
    </w:p>
    <w:p w14:paraId="11FC2036" w14:textId="77777777" w:rsidR="00BC581D" w:rsidRDefault="00BC581D">
      <w:pPr>
        <w:pStyle w:val="FootnoteText"/>
      </w:pPr>
    </w:p>
  </w:footnote>
  <w:footnote w:id="12">
    <w:p w14:paraId="02DD2D20" w14:textId="37A83820" w:rsidR="00AF5C3E" w:rsidRDefault="001834C6">
      <w:pPr>
        <w:pStyle w:val="FootnoteText"/>
      </w:pPr>
      <w:r>
        <w:tab/>
      </w:r>
      <w:r w:rsidR="00AF5C3E">
        <w:rPr>
          <w:rStyle w:val="FootnoteReference"/>
        </w:rPr>
        <w:footnoteRef/>
      </w:r>
      <w:r w:rsidR="00AF5C3E">
        <w:t xml:space="preserve"> </w:t>
      </w:r>
      <w:r w:rsidR="003173AC">
        <w:t>Ben. F. Philbeck, Jr</w:t>
      </w:r>
      <w:r w:rsidR="00164711">
        <w:t>.,</w:t>
      </w:r>
      <w:r w:rsidR="00AC32EA">
        <w:t xml:space="preserve"> </w:t>
      </w:r>
      <w:r w:rsidR="00AC32EA" w:rsidRPr="00AC32EA">
        <w:rPr>
          <w:i/>
          <w:iCs/>
        </w:rPr>
        <w:t>BBC</w:t>
      </w:r>
      <w:r w:rsidR="00AC32EA">
        <w:t xml:space="preserve">, </w:t>
      </w:r>
      <w:r w:rsidR="00273042">
        <w:t>1.</w:t>
      </w:r>
    </w:p>
    <w:p w14:paraId="79520FCA" w14:textId="77777777" w:rsidR="00712FC5" w:rsidRDefault="00712FC5">
      <w:pPr>
        <w:pStyle w:val="FootnoteText"/>
      </w:pPr>
    </w:p>
  </w:footnote>
  <w:footnote w:id="13">
    <w:p w14:paraId="3A7055E4" w14:textId="6AD7E5F5" w:rsidR="00E5504F" w:rsidRDefault="001834C6">
      <w:pPr>
        <w:pStyle w:val="FootnoteText"/>
      </w:pPr>
      <w:r>
        <w:tab/>
      </w:r>
      <w:r w:rsidR="00E5504F">
        <w:rPr>
          <w:rStyle w:val="FootnoteReference"/>
        </w:rPr>
        <w:footnoteRef/>
      </w:r>
      <w:r w:rsidR="00E5504F">
        <w:t xml:space="preserve"> Ben. F. Philbeck, Jr</w:t>
      </w:r>
      <w:r w:rsidR="00164711">
        <w:t>.,</w:t>
      </w:r>
      <w:r w:rsidR="00E5504F">
        <w:t xml:space="preserve"> </w:t>
      </w:r>
      <w:r w:rsidR="00712FC5" w:rsidRPr="00712FC5">
        <w:rPr>
          <w:i/>
          <w:iCs/>
        </w:rPr>
        <w:t>BBC</w:t>
      </w:r>
      <w:r w:rsidR="00712FC5">
        <w:t xml:space="preserve">, </w:t>
      </w:r>
      <w:r w:rsidR="00E17329" w:rsidRPr="00712FC5">
        <w:t>1</w:t>
      </w:r>
      <w:r w:rsidR="00E17329">
        <w:t>-2.</w:t>
      </w:r>
      <w:r w:rsidR="00134805">
        <w:t xml:space="preserve"> Bergen offers a thorough </w:t>
      </w:r>
      <w:r w:rsidR="00375E43">
        <w:t>discussion of the following five functions and purposes of 1</w:t>
      </w:r>
      <w:r w:rsidR="00283651">
        <w:t>-</w:t>
      </w:r>
      <w:r w:rsidR="00375E43">
        <w:t xml:space="preserve">2 Samuel: </w:t>
      </w:r>
      <w:r w:rsidR="00BF5004">
        <w:t>1). 1,</w:t>
      </w:r>
      <w:r w:rsidR="00262D7B">
        <w:t xml:space="preserve"> </w:t>
      </w:r>
      <w:r w:rsidR="00BF5004">
        <w:t>2 Samuel as History, 2). 1,</w:t>
      </w:r>
      <w:r w:rsidR="00262D7B">
        <w:t xml:space="preserve"> </w:t>
      </w:r>
      <w:r w:rsidR="00BF5004">
        <w:t xml:space="preserve">2 Samuel as Literary Art, 3). </w:t>
      </w:r>
      <w:r w:rsidR="00583989">
        <w:t>1</w:t>
      </w:r>
      <w:r w:rsidR="00262D7B">
        <w:t xml:space="preserve">, </w:t>
      </w:r>
      <w:r w:rsidR="00583989">
        <w:t>2 Samuel as Apology, 4). 1,</w:t>
      </w:r>
      <w:r w:rsidR="00262D7B">
        <w:t xml:space="preserve"> </w:t>
      </w:r>
      <w:r w:rsidR="00583989">
        <w:t>2 Samuel as Theology, and 5). 1,</w:t>
      </w:r>
      <w:r w:rsidR="00262D7B">
        <w:t xml:space="preserve"> </w:t>
      </w:r>
      <w:r w:rsidR="00583989">
        <w:t xml:space="preserve">2 Samuel as Scripture. See Bergen, </w:t>
      </w:r>
      <w:r w:rsidR="00262D7B">
        <w:rPr>
          <w:i/>
          <w:iCs/>
        </w:rPr>
        <w:t>NAC</w:t>
      </w:r>
      <w:r w:rsidR="00262D7B" w:rsidRPr="00262D7B">
        <w:t>,</w:t>
      </w:r>
      <w:r w:rsidR="00262D7B">
        <w:rPr>
          <w:i/>
          <w:iCs/>
        </w:rPr>
        <w:t xml:space="preserve"> </w:t>
      </w:r>
      <w:r w:rsidR="000B048D">
        <w:t xml:space="preserve">27-55. </w:t>
      </w:r>
    </w:p>
    <w:p w14:paraId="0B1F5B1D" w14:textId="77777777" w:rsidR="00E5504F" w:rsidRDefault="00E5504F">
      <w:pPr>
        <w:pStyle w:val="FootnoteText"/>
      </w:pPr>
    </w:p>
  </w:footnote>
  <w:footnote w:id="14">
    <w:p w14:paraId="7D15C92F" w14:textId="1A45D558" w:rsidR="00F44616" w:rsidRDefault="001834C6">
      <w:pPr>
        <w:pStyle w:val="FootnoteText"/>
      </w:pPr>
      <w:r>
        <w:tab/>
      </w:r>
      <w:r w:rsidR="00F44616">
        <w:rPr>
          <w:rStyle w:val="FootnoteReference"/>
        </w:rPr>
        <w:footnoteRef/>
      </w:r>
      <w:r w:rsidR="00F44616">
        <w:t xml:space="preserve"> </w:t>
      </w:r>
      <w:r w:rsidR="0097577A">
        <w:t>Crossway</w:t>
      </w:r>
      <w:r w:rsidR="00683DAE">
        <w:t xml:space="preserve"> Bibles</w:t>
      </w:r>
      <w:r w:rsidR="0097577A">
        <w:t xml:space="preserve">, </w:t>
      </w:r>
      <w:r w:rsidR="00CE053B">
        <w:t>“Introduction</w:t>
      </w:r>
      <w:r w:rsidR="005C491C">
        <w:t xml:space="preserve"> to</w:t>
      </w:r>
      <w:r w:rsidR="00CE053B">
        <w:t xml:space="preserve"> 1-2 Samuel,” available from </w:t>
      </w:r>
      <w:r w:rsidR="005C491C" w:rsidRPr="005C491C">
        <w:t>https://www.esv.org/resources/esv-global-study-bible/introduction-to-1-2-samuel/</w:t>
      </w:r>
      <w:r w:rsidR="00683DAE">
        <w:t>.</w:t>
      </w:r>
    </w:p>
  </w:footnote>
  <w:footnote w:id="15">
    <w:p w14:paraId="63A4D534" w14:textId="041648DF" w:rsidR="006615D9" w:rsidRDefault="001834C6">
      <w:pPr>
        <w:pStyle w:val="FootnoteText"/>
      </w:pPr>
      <w:r>
        <w:tab/>
      </w:r>
      <w:r w:rsidR="006615D9">
        <w:rPr>
          <w:rStyle w:val="FootnoteReference"/>
        </w:rPr>
        <w:footnoteRef/>
      </w:r>
      <w:r w:rsidR="006615D9">
        <w:t xml:space="preserve"> </w:t>
      </w:r>
      <w:r w:rsidR="005A639E">
        <w:t xml:space="preserve">For detailed information on each </w:t>
      </w:r>
      <w:r w:rsidR="005D7A8E">
        <w:t xml:space="preserve">of these locations, see </w:t>
      </w:r>
      <w:r w:rsidR="001D2B6A">
        <w:t>Merril F. Unger, “</w:t>
      </w:r>
      <w:r w:rsidR="005D7A8E">
        <w:t>RA’MAH</w:t>
      </w:r>
      <w:r w:rsidR="001D2B6A">
        <w:t xml:space="preserve">” in </w:t>
      </w:r>
      <w:r w:rsidR="00732CAC" w:rsidRPr="00732CAC">
        <w:rPr>
          <w:i/>
          <w:iCs/>
        </w:rPr>
        <w:t>T</w:t>
      </w:r>
      <w:r w:rsidR="001D2B6A" w:rsidRPr="00732CAC">
        <w:rPr>
          <w:i/>
          <w:iCs/>
        </w:rPr>
        <w:t>he New Unger’s Dictionary</w:t>
      </w:r>
      <w:r w:rsidR="00F62D18">
        <w:t>,</w:t>
      </w:r>
      <w:r w:rsidR="001D2B6A">
        <w:t xml:space="preserve"> </w:t>
      </w:r>
      <w:r w:rsidR="00F62D18">
        <w:t>ed.</w:t>
      </w:r>
      <w:r w:rsidR="001D2B6A">
        <w:t xml:space="preserve"> R. K. Harrison </w:t>
      </w:r>
      <w:r w:rsidR="00F62D18">
        <w:t>(</w:t>
      </w:r>
      <w:r w:rsidR="001D2B6A">
        <w:t>Chicago: Moody Press, 1988</w:t>
      </w:r>
      <w:r w:rsidR="00F62D18">
        <w:t>)</w:t>
      </w:r>
      <w:r w:rsidR="001D2B6A">
        <w:t xml:space="preserve">, </w:t>
      </w:r>
      <w:r w:rsidR="006615D9">
        <w:t xml:space="preserve">1062-1064. </w:t>
      </w:r>
    </w:p>
    <w:p w14:paraId="2E0EF9DD" w14:textId="77777777" w:rsidR="00141B01" w:rsidRPr="00E55CDE" w:rsidRDefault="00141B01">
      <w:pPr>
        <w:pStyle w:val="FootnoteText"/>
      </w:pPr>
    </w:p>
  </w:footnote>
  <w:footnote w:id="16">
    <w:p w14:paraId="444A63AF" w14:textId="779DD3D3" w:rsidR="000D253E" w:rsidRPr="00345C4F" w:rsidRDefault="001834C6">
      <w:pPr>
        <w:pStyle w:val="FootnoteText"/>
      </w:pPr>
      <w:r>
        <w:tab/>
      </w:r>
      <w:r w:rsidR="000D253E">
        <w:rPr>
          <w:rStyle w:val="FootnoteReference"/>
        </w:rPr>
        <w:footnoteRef/>
      </w:r>
      <w:r w:rsidR="000D253E">
        <w:t xml:space="preserve"> </w:t>
      </w:r>
      <w:r w:rsidR="00EB190A">
        <w:t>Zophim likely refers to the region settled by Zuph, Elka</w:t>
      </w:r>
      <w:r w:rsidR="00784F7D">
        <w:t>nah’s ancestor. (1 Sam. 9:5)</w:t>
      </w:r>
      <w:r w:rsidR="00345C4F">
        <w:t xml:space="preserve"> For more information see Bergen, </w:t>
      </w:r>
      <w:r w:rsidR="00345C4F">
        <w:rPr>
          <w:i/>
          <w:iCs/>
        </w:rPr>
        <w:t>NAC</w:t>
      </w:r>
      <w:r w:rsidR="00345C4F">
        <w:t xml:space="preserve">, 63. </w:t>
      </w:r>
    </w:p>
    <w:p w14:paraId="6F29E129" w14:textId="77777777" w:rsidR="00784F7D" w:rsidRDefault="00784F7D">
      <w:pPr>
        <w:pStyle w:val="FootnoteText"/>
      </w:pPr>
    </w:p>
  </w:footnote>
  <w:footnote w:id="17">
    <w:p w14:paraId="08DF93F0" w14:textId="3120DBEF" w:rsidR="006615D9" w:rsidRDefault="001834C6">
      <w:pPr>
        <w:pStyle w:val="FootnoteText"/>
      </w:pPr>
      <w:r>
        <w:tab/>
      </w:r>
      <w:r w:rsidR="006615D9">
        <w:rPr>
          <w:rStyle w:val="FootnoteReference"/>
        </w:rPr>
        <w:footnoteRef/>
      </w:r>
      <w:r w:rsidR="006615D9">
        <w:t xml:space="preserve"> </w:t>
      </w:r>
      <w:r w:rsidR="009F7278">
        <w:t xml:space="preserve">Klein, </w:t>
      </w:r>
      <w:r w:rsidR="00992B9A">
        <w:rPr>
          <w:i/>
          <w:iCs/>
        </w:rPr>
        <w:t>WBC</w:t>
      </w:r>
      <w:r w:rsidR="00992B9A" w:rsidRPr="00992B9A">
        <w:t xml:space="preserve">, 5. </w:t>
      </w:r>
    </w:p>
    <w:p w14:paraId="41137079" w14:textId="77777777" w:rsidR="00CE4DB9" w:rsidRPr="00583528" w:rsidRDefault="00CE4DB9">
      <w:pPr>
        <w:pStyle w:val="FootnoteText"/>
      </w:pPr>
    </w:p>
  </w:footnote>
  <w:footnote w:id="18">
    <w:p w14:paraId="2A16186A" w14:textId="54A21DCA" w:rsidR="00CE4DB9" w:rsidRDefault="001834C6">
      <w:pPr>
        <w:pStyle w:val="FootnoteText"/>
      </w:pPr>
      <w:r>
        <w:tab/>
      </w:r>
      <w:r w:rsidR="00CE4DB9">
        <w:rPr>
          <w:rStyle w:val="FootnoteReference"/>
        </w:rPr>
        <w:footnoteRef/>
      </w:r>
      <w:r w:rsidR="00CE4DB9">
        <w:t xml:space="preserve"> </w:t>
      </w:r>
      <w:r w:rsidR="00AE58A2">
        <w:t xml:space="preserve">Bergen, </w:t>
      </w:r>
      <w:r w:rsidR="00992B9A" w:rsidRPr="00992B9A">
        <w:t>NAC</w:t>
      </w:r>
      <w:r w:rsidR="00992B9A">
        <w:t>,</w:t>
      </w:r>
      <w:r w:rsidR="00F455A9">
        <w:t xml:space="preserve"> 63.</w:t>
      </w:r>
    </w:p>
    <w:p w14:paraId="12E0DE83" w14:textId="77777777" w:rsidR="00CC33B8" w:rsidRDefault="00CC33B8">
      <w:pPr>
        <w:pStyle w:val="FootnoteText"/>
      </w:pPr>
    </w:p>
  </w:footnote>
  <w:footnote w:id="19">
    <w:p w14:paraId="7A103F38" w14:textId="6A5DB089" w:rsidR="00CC33B8" w:rsidRDefault="001834C6">
      <w:pPr>
        <w:pStyle w:val="FootnoteText"/>
      </w:pPr>
      <w:r>
        <w:tab/>
      </w:r>
      <w:r w:rsidR="00CC33B8">
        <w:rPr>
          <w:rStyle w:val="FootnoteReference"/>
        </w:rPr>
        <w:footnoteRef/>
      </w:r>
      <w:r w:rsidR="00CC33B8">
        <w:t xml:space="preserve"> Bergen,</w:t>
      </w:r>
      <w:r w:rsidR="00992B9A">
        <w:t xml:space="preserve"> </w:t>
      </w:r>
      <w:r w:rsidR="00992B9A" w:rsidRPr="00992B9A">
        <w:rPr>
          <w:i/>
          <w:iCs/>
        </w:rPr>
        <w:t>NAC</w:t>
      </w:r>
      <w:r w:rsidR="00992B9A">
        <w:t>,</w:t>
      </w:r>
      <w:r w:rsidR="00CC33B8">
        <w:t xml:space="preserve"> 64. </w:t>
      </w:r>
    </w:p>
    <w:p w14:paraId="23CD1E63" w14:textId="77777777" w:rsidR="00941636" w:rsidRDefault="00941636">
      <w:pPr>
        <w:pStyle w:val="FootnoteText"/>
      </w:pPr>
    </w:p>
  </w:footnote>
  <w:footnote w:id="20">
    <w:p w14:paraId="19C35541" w14:textId="274A7607" w:rsidR="005C7A20" w:rsidRPr="006D5964" w:rsidRDefault="001834C6">
      <w:pPr>
        <w:pStyle w:val="FootnoteText"/>
      </w:pPr>
      <w:r>
        <w:tab/>
      </w:r>
      <w:r w:rsidR="005C7A20">
        <w:rPr>
          <w:rStyle w:val="FootnoteReference"/>
        </w:rPr>
        <w:footnoteRef/>
      </w:r>
      <w:r w:rsidR="005C7A20">
        <w:t xml:space="preserve"> </w:t>
      </w:r>
      <w:r w:rsidR="00A641D7">
        <w:t xml:space="preserve">Andrews and Bergen, </w:t>
      </w:r>
      <w:r w:rsidR="006D5964">
        <w:rPr>
          <w:i/>
          <w:iCs/>
        </w:rPr>
        <w:t>HOTC</w:t>
      </w:r>
      <w:r w:rsidR="006D5964" w:rsidRPr="006D5964">
        <w:t>,</w:t>
      </w:r>
      <w:r w:rsidR="006D5964">
        <w:rPr>
          <w:i/>
          <w:iCs/>
        </w:rPr>
        <w:t xml:space="preserve"> </w:t>
      </w:r>
      <w:r w:rsidR="006D5964">
        <w:t xml:space="preserve">11-12. </w:t>
      </w:r>
    </w:p>
    <w:p w14:paraId="6B4B2C76" w14:textId="77777777" w:rsidR="00D00ABF" w:rsidRPr="00A641D7" w:rsidRDefault="00D00ABF">
      <w:pPr>
        <w:pStyle w:val="FootnoteText"/>
      </w:pPr>
    </w:p>
  </w:footnote>
  <w:footnote w:id="21">
    <w:p w14:paraId="610F62A4" w14:textId="458980D9" w:rsidR="00D00ABF" w:rsidRDefault="001834C6">
      <w:pPr>
        <w:pStyle w:val="FootnoteText"/>
      </w:pPr>
      <w:r>
        <w:tab/>
      </w:r>
      <w:r w:rsidR="00D00ABF">
        <w:rPr>
          <w:rStyle w:val="FootnoteReference"/>
        </w:rPr>
        <w:footnoteRef/>
      </w:r>
      <w:r w:rsidR="00D00ABF">
        <w:t xml:space="preserve"> </w:t>
      </w:r>
      <w:r w:rsidR="00CF1B12">
        <w:t>David Alexander and Pat Alexander,</w:t>
      </w:r>
      <w:r w:rsidR="00D650A1">
        <w:t xml:space="preserve"> eds.</w:t>
      </w:r>
      <w:r w:rsidR="00221AB5">
        <w:t>,</w:t>
      </w:r>
      <w:r w:rsidR="00CF1B12">
        <w:t xml:space="preserve"> </w:t>
      </w:r>
      <w:r w:rsidR="00D00ABF" w:rsidRPr="00D650A1">
        <w:rPr>
          <w:i/>
          <w:iCs/>
        </w:rPr>
        <w:t xml:space="preserve">Eerdmans Handbook </w:t>
      </w:r>
      <w:r w:rsidR="009515FB" w:rsidRPr="00D650A1">
        <w:rPr>
          <w:i/>
          <w:iCs/>
        </w:rPr>
        <w:t xml:space="preserve">to </w:t>
      </w:r>
      <w:r w:rsidR="00D00ABF" w:rsidRPr="00D650A1">
        <w:rPr>
          <w:i/>
          <w:iCs/>
        </w:rPr>
        <w:t>the Bible</w:t>
      </w:r>
      <w:r w:rsidR="00D650A1">
        <w:t xml:space="preserve"> (</w:t>
      </w:r>
      <w:r w:rsidR="00014459">
        <w:t xml:space="preserve">Grand Rapids: William B. Eerdmans Publishing Company, </w:t>
      </w:r>
      <w:r w:rsidR="001B4D43">
        <w:t>1973</w:t>
      </w:r>
      <w:r w:rsidR="00D650A1">
        <w:t>)</w:t>
      </w:r>
      <w:r w:rsidR="001B4D43">
        <w:t xml:space="preserve">, 231. </w:t>
      </w:r>
    </w:p>
    <w:p w14:paraId="11F01BE1" w14:textId="77777777" w:rsidR="003D7269" w:rsidRDefault="003D7269">
      <w:pPr>
        <w:pStyle w:val="FootnoteText"/>
      </w:pPr>
    </w:p>
  </w:footnote>
  <w:footnote w:id="22">
    <w:p w14:paraId="251F7904" w14:textId="51B27042" w:rsidR="00A634D5" w:rsidRDefault="001834C6">
      <w:pPr>
        <w:pStyle w:val="FootnoteText"/>
      </w:pPr>
      <w:r>
        <w:tab/>
      </w:r>
      <w:r w:rsidR="00A634D5">
        <w:rPr>
          <w:rStyle w:val="FootnoteReference"/>
        </w:rPr>
        <w:footnoteRef/>
      </w:r>
      <w:r w:rsidR="00A634D5">
        <w:t xml:space="preserve"> </w:t>
      </w:r>
      <w:r w:rsidR="003910B0">
        <w:t xml:space="preserve">Bible Gateway, </w:t>
      </w:r>
      <w:r w:rsidR="003D7269">
        <w:t xml:space="preserve">“Shiloh,” in the </w:t>
      </w:r>
      <w:r w:rsidR="003D7269" w:rsidRPr="00991952">
        <w:rPr>
          <w:i/>
          <w:iCs/>
        </w:rPr>
        <w:t>Encyclopedia of the Bible</w:t>
      </w:r>
      <w:r w:rsidR="003910B0">
        <w:t>, a</w:t>
      </w:r>
      <w:r w:rsidR="003D7269">
        <w:t xml:space="preserve">vailable </w:t>
      </w:r>
      <w:r w:rsidR="003910B0">
        <w:t>from</w:t>
      </w:r>
      <w:r w:rsidR="006524E3">
        <w:t xml:space="preserve"> </w:t>
      </w:r>
      <w:r w:rsidR="003910B0" w:rsidRPr="003910B0">
        <w:t>https://www.biblegateway.com/</w:t>
      </w:r>
      <w:r w:rsidR="003910B0">
        <w:t xml:space="preserve"> </w:t>
      </w:r>
      <w:r w:rsidR="001A0002" w:rsidRPr="003910B0">
        <w:t>resources/encyclopedia-of-the-bible/Shiloh</w:t>
      </w:r>
      <w:r w:rsidR="003910B0">
        <w:t>.</w:t>
      </w:r>
    </w:p>
    <w:p w14:paraId="3B8CB787" w14:textId="567FD338" w:rsidR="001A0002" w:rsidRDefault="001834C6">
      <w:pPr>
        <w:pStyle w:val="FootnoteText"/>
      </w:pPr>
      <w:r>
        <w:tab/>
      </w:r>
    </w:p>
  </w:footnote>
  <w:footnote w:id="23">
    <w:p w14:paraId="74C754DE" w14:textId="00D6F645" w:rsidR="00E76E12" w:rsidRDefault="001834C6">
      <w:pPr>
        <w:pStyle w:val="FootnoteText"/>
      </w:pPr>
      <w:r>
        <w:tab/>
      </w:r>
      <w:r w:rsidR="00E76E12">
        <w:rPr>
          <w:rStyle w:val="FootnoteReference"/>
        </w:rPr>
        <w:footnoteRef/>
      </w:r>
      <w:r w:rsidR="00E76E12">
        <w:t xml:space="preserve"> </w:t>
      </w:r>
      <w:r w:rsidR="00364161">
        <w:t xml:space="preserve">Unger, </w:t>
      </w:r>
      <w:r w:rsidR="001A0002">
        <w:t xml:space="preserve">347-348. </w:t>
      </w:r>
    </w:p>
    <w:p w14:paraId="5EE242CF" w14:textId="77777777" w:rsidR="00606178" w:rsidRDefault="00606178">
      <w:pPr>
        <w:pStyle w:val="FootnoteText"/>
      </w:pPr>
    </w:p>
  </w:footnote>
  <w:footnote w:id="24">
    <w:p w14:paraId="0F834323" w14:textId="6E9EA07D" w:rsidR="001263B2" w:rsidRDefault="001834C6">
      <w:pPr>
        <w:pStyle w:val="FootnoteText"/>
      </w:pPr>
      <w:r>
        <w:tab/>
      </w:r>
      <w:r w:rsidR="001263B2">
        <w:rPr>
          <w:rStyle w:val="FootnoteReference"/>
        </w:rPr>
        <w:footnoteRef/>
      </w:r>
      <w:r w:rsidR="001263B2">
        <w:t xml:space="preserve"> Klein, </w:t>
      </w:r>
      <w:r w:rsidR="008F0231" w:rsidRPr="008F0231">
        <w:rPr>
          <w:i/>
          <w:iCs/>
        </w:rPr>
        <w:t>WBC</w:t>
      </w:r>
      <w:r w:rsidR="008F0231">
        <w:t xml:space="preserve">, </w:t>
      </w:r>
      <w:r w:rsidR="001263B2">
        <w:t xml:space="preserve">25. </w:t>
      </w:r>
    </w:p>
    <w:p w14:paraId="738F8FE5" w14:textId="77777777" w:rsidR="009D3E1E" w:rsidRDefault="009D3E1E">
      <w:pPr>
        <w:pStyle w:val="FootnoteText"/>
      </w:pPr>
    </w:p>
  </w:footnote>
  <w:footnote w:id="25">
    <w:p w14:paraId="5DF9BAE4" w14:textId="4720E736" w:rsidR="00F62D53" w:rsidRDefault="001834C6">
      <w:pPr>
        <w:pStyle w:val="FootnoteText"/>
      </w:pPr>
      <w:r>
        <w:tab/>
      </w:r>
      <w:r w:rsidR="00F62D53">
        <w:rPr>
          <w:rStyle w:val="FootnoteReference"/>
        </w:rPr>
        <w:footnoteRef/>
      </w:r>
      <w:r w:rsidR="00F62D53">
        <w:t xml:space="preserve"> </w:t>
      </w:r>
      <w:r w:rsidR="009D3E1E">
        <w:t xml:space="preserve">Bergen, </w:t>
      </w:r>
      <w:r w:rsidR="008F0231" w:rsidRPr="008F0231">
        <w:rPr>
          <w:i/>
          <w:iCs/>
        </w:rPr>
        <w:t>NAC</w:t>
      </w:r>
      <w:r w:rsidR="008F0231">
        <w:t xml:space="preserve">, </w:t>
      </w:r>
      <w:r w:rsidR="009D3E1E">
        <w:t xml:space="preserve">89. </w:t>
      </w:r>
    </w:p>
    <w:p w14:paraId="236FBCA1" w14:textId="77777777" w:rsidR="00D35F76" w:rsidRDefault="00D35F76">
      <w:pPr>
        <w:pStyle w:val="FootnoteText"/>
      </w:pPr>
    </w:p>
  </w:footnote>
  <w:footnote w:id="26">
    <w:p w14:paraId="4B1B23C5" w14:textId="5452EF6A" w:rsidR="00D35F76" w:rsidRDefault="001834C6">
      <w:pPr>
        <w:pStyle w:val="FootnoteText"/>
      </w:pPr>
      <w:r>
        <w:tab/>
      </w:r>
      <w:r w:rsidR="00D35F76">
        <w:rPr>
          <w:rStyle w:val="FootnoteReference"/>
        </w:rPr>
        <w:footnoteRef/>
      </w:r>
      <w:r w:rsidR="00D35F76">
        <w:t xml:space="preserve"> Andrews and Bergen, </w:t>
      </w:r>
      <w:r w:rsidR="008F0231" w:rsidRPr="008F0231">
        <w:rPr>
          <w:i/>
          <w:iCs/>
        </w:rPr>
        <w:t>HOTC</w:t>
      </w:r>
      <w:r w:rsidR="008F0231">
        <w:t xml:space="preserve">, </w:t>
      </w:r>
      <w:r w:rsidR="00D35F76">
        <w:t xml:space="preserve">30. </w:t>
      </w:r>
    </w:p>
    <w:p w14:paraId="41EF4FD4" w14:textId="73378FF1" w:rsidR="00B543C8" w:rsidRDefault="00B543C8">
      <w:pPr>
        <w:pStyle w:val="FootnoteText"/>
      </w:pPr>
    </w:p>
  </w:footnote>
  <w:footnote w:id="27">
    <w:p w14:paraId="6572CEF4" w14:textId="0CB78576" w:rsidR="00B543C8" w:rsidRDefault="001834C6">
      <w:pPr>
        <w:pStyle w:val="FootnoteText"/>
      </w:pPr>
      <w:r>
        <w:tab/>
      </w:r>
      <w:r w:rsidR="00B543C8">
        <w:rPr>
          <w:rStyle w:val="FootnoteReference"/>
        </w:rPr>
        <w:footnoteRef/>
      </w:r>
      <w:r w:rsidR="00B543C8">
        <w:t xml:space="preserve"> </w:t>
      </w:r>
      <w:r w:rsidR="00330E9E">
        <w:t>Carl S. Ehrlich,</w:t>
      </w:r>
      <w:r w:rsidR="00592CCD">
        <w:t xml:space="preserve"> </w:t>
      </w:r>
      <w:r w:rsidR="0038427A">
        <w:t xml:space="preserve">“Philistines,” </w:t>
      </w:r>
      <w:r w:rsidR="00AA1C18">
        <w:t xml:space="preserve">in </w:t>
      </w:r>
      <w:r w:rsidR="00AA1C18">
        <w:rPr>
          <w:i/>
          <w:iCs/>
        </w:rPr>
        <w:t>The Oxford Companion to the Bible</w:t>
      </w:r>
      <w:r w:rsidR="009C780E">
        <w:t xml:space="preserve">, eds. </w:t>
      </w:r>
      <w:r w:rsidR="00AA1C18">
        <w:t>Bruce M. Metzger and Michael D. Coogan</w:t>
      </w:r>
      <w:r w:rsidR="009C780E">
        <w:t xml:space="preserve"> </w:t>
      </w:r>
      <w:r w:rsidR="00747240">
        <w:t xml:space="preserve">(Oxford: Oxford University Press, 1993), 591-592. </w:t>
      </w:r>
    </w:p>
    <w:p w14:paraId="7AC62FC4" w14:textId="77777777" w:rsidR="00941636" w:rsidRPr="00AA1C18" w:rsidRDefault="00941636">
      <w:pPr>
        <w:pStyle w:val="FootnoteText"/>
      </w:pPr>
    </w:p>
  </w:footnote>
  <w:footnote w:id="28">
    <w:p w14:paraId="7FA706FB" w14:textId="7787AC12" w:rsidR="00395028" w:rsidRDefault="001834C6">
      <w:pPr>
        <w:pStyle w:val="FootnoteText"/>
      </w:pPr>
      <w:r>
        <w:tab/>
      </w:r>
      <w:r w:rsidR="00395028">
        <w:rPr>
          <w:rStyle w:val="FootnoteReference"/>
        </w:rPr>
        <w:footnoteRef/>
      </w:r>
      <w:r w:rsidR="00395028">
        <w:t xml:space="preserve"> Unger, “</w:t>
      </w:r>
      <w:r w:rsidR="00CE6A6D">
        <w:t xml:space="preserve">Ark of the Covenant,” 102-103. </w:t>
      </w:r>
    </w:p>
    <w:p w14:paraId="51F03AF2" w14:textId="77777777" w:rsidR="00B45CD7" w:rsidRDefault="00B45CD7">
      <w:pPr>
        <w:pStyle w:val="FootnoteText"/>
      </w:pPr>
    </w:p>
  </w:footnote>
  <w:footnote w:id="29">
    <w:p w14:paraId="06CE6547" w14:textId="000E93C1" w:rsidR="003344D8" w:rsidRDefault="001834C6">
      <w:pPr>
        <w:pStyle w:val="FootnoteText"/>
      </w:pPr>
      <w:r>
        <w:tab/>
      </w:r>
      <w:r w:rsidR="00B45CD7">
        <w:rPr>
          <w:rStyle w:val="FootnoteReference"/>
        </w:rPr>
        <w:footnoteRef/>
      </w:r>
      <w:r w:rsidR="00B45CD7">
        <w:t xml:space="preserve"> </w:t>
      </w:r>
      <w:r w:rsidR="007C39A1">
        <w:t xml:space="preserve">This table is found in the </w:t>
      </w:r>
      <w:r w:rsidR="007C39A1" w:rsidRPr="003344D8">
        <w:rPr>
          <w:i/>
          <w:iCs/>
        </w:rPr>
        <w:t>ESV Study Bible</w:t>
      </w:r>
      <w:r w:rsidR="007C39A1">
        <w:t>, 498.</w:t>
      </w:r>
    </w:p>
    <w:p w14:paraId="5E294048" w14:textId="77777777" w:rsidR="006E2009" w:rsidRDefault="006E2009">
      <w:pPr>
        <w:pStyle w:val="FootnoteText"/>
      </w:pPr>
    </w:p>
  </w:footnote>
  <w:footnote w:id="30">
    <w:p w14:paraId="2B1B55A3" w14:textId="1CC235A7" w:rsidR="003344D8" w:rsidRDefault="001834C6">
      <w:pPr>
        <w:pStyle w:val="FootnoteText"/>
      </w:pPr>
      <w:r>
        <w:tab/>
      </w:r>
      <w:r w:rsidR="003344D8">
        <w:rPr>
          <w:rStyle w:val="FootnoteReference"/>
        </w:rPr>
        <w:footnoteRef/>
      </w:r>
      <w:r w:rsidR="003344D8">
        <w:t xml:space="preserve"> </w:t>
      </w:r>
      <w:r w:rsidR="00683A6F">
        <w:t xml:space="preserve">“Ashdod,” </w:t>
      </w:r>
      <w:r w:rsidR="00683A6F">
        <w:rPr>
          <w:i/>
          <w:iCs/>
        </w:rPr>
        <w:t>ESV Study Bible</w:t>
      </w:r>
      <w:r w:rsidR="006527A1" w:rsidRPr="006527A1">
        <w:t>,</w:t>
      </w:r>
      <w:r w:rsidR="006527A1">
        <w:rPr>
          <w:i/>
          <w:iCs/>
        </w:rPr>
        <w:t xml:space="preserve"> </w:t>
      </w:r>
      <w:r w:rsidR="00DA22B9">
        <w:t xml:space="preserve">500. </w:t>
      </w:r>
    </w:p>
    <w:p w14:paraId="321814F7" w14:textId="4A47143A" w:rsidR="00134D86" w:rsidRPr="00683A6F" w:rsidRDefault="001834C6">
      <w:pPr>
        <w:pStyle w:val="FootnoteText"/>
      </w:pPr>
      <w:r>
        <w:tab/>
      </w:r>
    </w:p>
  </w:footnote>
  <w:footnote w:id="31">
    <w:p w14:paraId="2023EFE0" w14:textId="23DFC8FE" w:rsidR="00C759F0" w:rsidRDefault="001834C6">
      <w:pPr>
        <w:pStyle w:val="FootnoteText"/>
      </w:pPr>
      <w:r>
        <w:tab/>
      </w:r>
      <w:r w:rsidR="00C759F0">
        <w:rPr>
          <w:rStyle w:val="FootnoteReference"/>
        </w:rPr>
        <w:footnoteRef/>
      </w:r>
      <w:r w:rsidR="00C759F0">
        <w:t xml:space="preserve"> Daniel E. Fleming, “Dagon</w:t>
      </w:r>
      <w:r w:rsidR="00D9372D">
        <w:t xml:space="preserve">,” </w:t>
      </w:r>
      <w:r w:rsidR="00D9372D">
        <w:rPr>
          <w:i/>
          <w:iCs/>
        </w:rPr>
        <w:t>The Oxford Companion to the Bible</w:t>
      </w:r>
      <w:r w:rsidR="00D9372D">
        <w:t>,</w:t>
      </w:r>
      <w:r w:rsidR="006527A1">
        <w:t xml:space="preserve"> </w:t>
      </w:r>
      <w:r w:rsidR="00B35F75">
        <w:t xml:space="preserve">147. </w:t>
      </w:r>
      <w:r w:rsidR="00D9372D">
        <w:t xml:space="preserve"> </w:t>
      </w:r>
    </w:p>
    <w:p w14:paraId="30FA8774" w14:textId="77777777" w:rsidR="00E00581" w:rsidRPr="00D9372D" w:rsidRDefault="00E00581">
      <w:pPr>
        <w:pStyle w:val="FootnoteText"/>
      </w:pPr>
    </w:p>
  </w:footnote>
  <w:footnote w:id="32">
    <w:p w14:paraId="20A5A8DD" w14:textId="5B2E8A2B" w:rsidR="00E00581" w:rsidRDefault="001834C6">
      <w:pPr>
        <w:pStyle w:val="FootnoteText"/>
      </w:pPr>
      <w:r>
        <w:tab/>
      </w:r>
      <w:r w:rsidR="00E00581">
        <w:rPr>
          <w:rStyle w:val="FootnoteReference"/>
        </w:rPr>
        <w:footnoteRef/>
      </w:r>
      <w:r w:rsidR="00E00581">
        <w:t xml:space="preserve"> Bergen, </w:t>
      </w:r>
      <w:r w:rsidR="00C37A6F" w:rsidRPr="00C37A6F">
        <w:rPr>
          <w:i/>
          <w:iCs/>
        </w:rPr>
        <w:t>NAC</w:t>
      </w:r>
      <w:r w:rsidR="00C37A6F">
        <w:t xml:space="preserve">, </w:t>
      </w:r>
      <w:r w:rsidR="00E00581">
        <w:t xml:space="preserve">98. </w:t>
      </w:r>
    </w:p>
    <w:p w14:paraId="7C0E6805" w14:textId="77777777" w:rsidR="00C762A1" w:rsidRDefault="00C762A1">
      <w:pPr>
        <w:pStyle w:val="FootnoteText"/>
      </w:pPr>
    </w:p>
  </w:footnote>
  <w:footnote w:id="33">
    <w:p w14:paraId="332ACF4E" w14:textId="237781EB" w:rsidR="00C762A1" w:rsidRDefault="001834C6">
      <w:pPr>
        <w:pStyle w:val="FootnoteText"/>
      </w:pPr>
      <w:r>
        <w:tab/>
      </w:r>
      <w:r w:rsidR="00C762A1">
        <w:rPr>
          <w:rStyle w:val="FootnoteReference"/>
        </w:rPr>
        <w:footnoteRef/>
      </w:r>
      <w:r w:rsidR="00C762A1">
        <w:t xml:space="preserve"> Klein, </w:t>
      </w:r>
      <w:r w:rsidR="00C37A6F" w:rsidRPr="00C37A6F">
        <w:rPr>
          <w:i/>
          <w:iCs/>
        </w:rPr>
        <w:t>WBC</w:t>
      </w:r>
      <w:r w:rsidR="00C37A6F">
        <w:t xml:space="preserve">, </w:t>
      </w:r>
      <w:r w:rsidR="00C762A1">
        <w:t xml:space="preserve">100. </w:t>
      </w:r>
    </w:p>
    <w:p w14:paraId="00ED00A5" w14:textId="77777777" w:rsidR="00631716" w:rsidRDefault="00631716">
      <w:pPr>
        <w:pStyle w:val="FootnoteText"/>
      </w:pPr>
    </w:p>
  </w:footnote>
  <w:footnote w:id="34">
    <w:p w14:paraId="0528089E" w14:textId="3ABFD63C" w:rsidR="00631716" w:rsidRDefault="001834C6">
      <w:pPr>
        <w:pStyle w:val="FootnoteText"/>
      </w:pPr>
      <w:r>
        <w:tab/>
      </w:r>
      <w:r w:rsidR="00631716">
        <w:rPr>
          <w:rStyle w:val="FootnoteReference"/>
        </w:rPr>
        <w:footnoteRef/>
      </w:r>
      <w:r w:rsidR="00631716">
        <w:t xml:space="preserve"> Unger, </w:t>
      </w:r>
      <w:r w:rsidR="00E0496E">
        <w:t xml:space="preserve">“BETH-SHE-MESH,” 167. This article also discusses the unusual Hebrew </w:t>
      </w:r>
      <w:r w:rsidR="001E0316">
        <w:t xml:space="preserve">numbering that literally puts the number of men killed at 50,070. </w:t>
      </w:r>
    </w:p>
    <w:p w14:paraId="6E43613E" w14:textId="77777777" w:rsidR="00BE0A92" w:rsidRDefault="00BE0A92">
      <w:pPr>
        <w:pStyle w:val="FootnoteText"/>
      </w:pPr>
    </w:p>
  </w:footnote>
  <w:footnote w:id="35">
    <w:p w14:paraId="2062D972" w14:textId="5A3CF1AE" w:rsidR="00BE0A92" w:rsidRDefault="001834C6">
      <w:pPr>
        <w:pStyle w:val="FootnoteText"/>
      </w:pPr>
      <w:r>
        <w:tab/>
      </w:r>
      <w:r w:rsidR="00BE0A92">
        <w:rPr>
          <w:rStyle w:val="FootnoteReference"/>
        </w:rPr>
        <w:footnoteRef/>
      </w:r>
      <w:r w:rsidR="00BE0A92">
        <w:t xml:space="preserve"> </w:t>
      </w:r>
      <w:r w:rsidR="00074966">
        <w:t>“Kiriath-jearim</w:t>
      </w:r>
      <w:r w:rsidR="00BE0A92">
        <w:t xml:space="preserve">,” </w:t>
      </w:r>
      <w:r w:rsidR="00BE0A92">
        <w:rPr>
          <w:i/>
          <w:iCs/>
        </w:rPr>
        <w:t>ESV Study Bible</w:t>
      </w:r>
      <w:r w:rsidR="00C37A6F" w:rsidRPr="00C37A6F">
        <w:t>,</w:t>
      </w:r>
      <w:r w:rsidR="00C37A6F">
        <w:rPr>
          <w:i/>
          <w:iCs/>
        </w:rPr>
        <w:t xml:space="preserve"> </w:t>
      </w:r>
      <w:r w:rsidR="00BE0A92">
        <w:t>50</w:t>
      </w:r>
      <w:r w:rsidR="00074966">
        <w:t>2</w:t>
      </w:r>
      <w:r w:rsidR="00BE0A92">
        <w:t>.</w:t>
      </w:r>
    </w:p>
  </w:footnote>
  <w:footnote w:id="36">
    <w:p w14:paraId="10B15ED8" w14:textId="6F1091E0" w:rsidR="008D54DD" w:rsidRDefault="001834C6">
      <w:pPr>
        <w:pStyle w:val="FootnoteText"/>
      </w:pPr>
      <w:r>
        <w:tab/>
      </w:r>
      <w:r w:rsidR="008D54DD">
        <w:rPr>
          <w:rStyle w:val="FootnoteReference"/>
        </w:rPr>
        <w:footnoteRef/>
      </w:r>
      <w:r w:rsidR="008D54DD">
        <w:t xml:space="preserve"> Andrews and Bergen,</w:t>
      </w:r>
      <w:r w:rsidR="00EE1019">
        <w:t xml:space="preserve"> </w:t>
      </w:r>
      <w:r w:rsidR="00EE1019" w:rsidRPr="00EE1019">
        <w:rPr>
          <w:i/>
          <w:iCs/>
        </w:rPr>
        <w:t>HOTC</w:t>
      </w:r>
      <w:r w:rsidR="00EE1019">
        <w:t>, 62</w:t>
      </w:r>
      <w:r w:rsidR="00B01294">
        <w:t xml:space="preserve">. </w:t>
      </w:r>
    </w:p>
    <w:p w14:paraId="35CF7781" w14:textId="77777777" w:rsidR="00B01294" w:rsidRDefault="00B01294">
      <w:pPr>
        <w:pStyle w:val="FootnoteText"/>
      </w:pPr>
    </w:p>
  </w:footnote>
  <w:footnote w:id="37">
    <w:p w14:paraId="19EB0E04" w14:textId="69B92D44" w:rsidR="00B01294" w:rsidRDefault="001834C6">
      <w:pPr>
        <w:pStyle w:val="FootnoteText"/>
      </w:pPr>
      <w:r>
        <w:tab/>
      </w:r>
      <w:r w:rsidR="00B01294">
        <w:rPr>
          <w:rStyle w:val="FootnoteReference"/>
        </w:rPr>
        <w:footnoteRef/>
      </w:r>
      <w:r w:rsidR="00B01294">
        <w:t xml:space="preserve"> Bergen, </w:t>
      </w:r>
      <w:r w:rsidR="00EE1019" w:rsidRPr="00EE1019">
        <w:rPr>
          <w:i/>
          <w:iCs/>
        </w:rPr>
        <w:t>NAC</w:t>
      </w:r>
      <w:r w:rsidR="00EE1019">
        <w:t xml:space="preserve">, </w:t>
      </w:r>
      <w:r w:rsidR="00B01294">
        <w:t xml:space="preserve">108. </w:t>
      </w:r>
    </w:p>
    <w:p w14:paraId="1DB96145" w14:textId="77777777" w:rsidR="00362713" w:rsidRDefault="00362713">
      <w:pPr>
        <w:pStyle w:val="FootnoteText"/>
      </w:pPr>
    </w:p>
  </w:footnote>
  <w:footnote w:id="38">
    <w:p w14:paraId="405DFF47" w14:textId="000A8351" w:rsidR="00267D7D" w:rsidRDefault="001834C6">
      <w:pPr>
        <w:pStyle w:val="FootnoteText"/>
      </w:pPr>
      <w:r>
        <w:tab/>
      </w:r>
      <w:r w:rsidR="00267D7D">
        <w:rPr>
          <w:rStyle w:val="FootnoteReference"/>
        </w:rPr>
        <w:footnoteRef/>
      </w:r>
      <w:r w:rsidR="00267D7D">
        <w:t xml:space="preserve"> </w:t>
      </w:r>
      <w:r w:rsidR="00362713">
        <w:t xml:space="preserve">Bergen, </w:t>
      </w:r>
      <w:r w:rsidR="00EE1019" w:rsidRPr="00EE1019">
        <w:rPr>
          <w:i/>
          <w:iCs/>
        </w:rPr>
        <w:t>NAC</w:t>
      </w:r>
      <w:r w:rsidR="00EE1019">
        <w:t xml:space="preserve">, </w:t>
      </w:r>
      <w:r w:rsidR="00362713">
        <w:t xml:space="preserve">110. </w:t>
      </w:r>
    </w:p>
    <w:p w14:paraId="4DA2260E" w14:textId="77777777" w:rsidR="00D21002" w:rsidRDefault="00D21002">
      <w:pPr>
        <w:pStyle w:val="FootnoteText"/>
      </w:pPr>
    </w:p>
  </w:footnote>
  <w:footnote w:id="39">
    <w:p w14:paraId="4304DE0F" w14:textId="2E5C6656" w:rsidR="00D21002" w:rsidRDefault="001834C6">
      <w:pPr>
        <w:pStyle w:val="FootnoteText"/>
      </w:pPr>
      <w:r>
        <w:tab/>
      </w:r>
      <w:r w:rsidR="00D21002">
        <w:rPr>
          <w:rStyle w:val="FootnoteReference"/>
        </w:rPr>
        <w:footnoteRef/>
      </w:r>
      <w:r w:rsidR="00D21002">
        <w:t xml:space="preserve"> Bergen, </w:t>
      </w:r>
      <w:r w:rsidR="00EE1019" w:rsidRPr="00EE1019">
        <w:rPr>
          <w:i/>
          <w:iCs/>
        </w:rPr>
        <w:t>NAC</w:t>
      </w:r>
      <w:r w:rsidR="00EE1019">
        <w:t xml:space="preserve">, </w:t>
      </w:r>
      <w:r w:rsidR="00D21002">
        <w:t xml:space="preserve">110-111. </w:t>
      </w:r>
    </w:p>
    <w:p w14:paraId="164D4E9D" w14:textId="77777777" w:rsidR="002F259D" w:rsidRDefault="002F259D">
      <w:pPr>
        <w:pStyle w:val="FootnoteText"/>
      </w:pPr>
    </w:p>
  </w:footnote>
  <w:footnote w:id="40">
    <w:p w14:paraId="269D0EE6" w14:textId="29CEB5A8" w:rsidR="00FA0EA5" w:rsidRDefault="001834C6">
      <w:pPr>
        <w:pStyle w:val="FootnoteText"/>
      </w:pPr>
      <w:r>
        <w:tab/>
      </w:r>
      <w:r w:rsidR="004C7CC8">
        <w:rPr>
          <w:rStyle w:val="FootnoteReference"/>
        </w:rPr>
        <w:footnoteRef/>
      </w:r>
      <w:r w:rsidR="004C7CC8">
        <w:t xml:space="preserve"> </w:t>
      </w:r>
      <w:r w:rsidR="009B278A">
        <w:t>David M. Gunn</w:t>
      </w:r>
      <w:r w:rsidR="00474FAB">
        <w:t xml:space="preserve">, “Saul,” </w:t>
      </w:r>
      <w:r w:rsidR="00675FA4" w:rsidRPr="00675FA4">
        <w:rPr>
          <w:i/>
          <w:iCs/>
        </w:rPr>
        <w:t>The</w:t>
      </w:r>
      <w:r w:rsidR="00675FA4">
        <w:t xml:space="preserve"> </w:t>
      </w:r>
      <w:r w:rsidR="009B278A" w:rsidRPr="009B278A">
        <w:rPr>
          <w:i/>
          <w:iCs/>
        </w:rPr>
        <w:t>Oxford Companion to the Bible</w:t>
      </w:r>
      <w:r w:rsidR="009B278A">
        <w:t xml:space="preserve">, </w:t>
      </w:r>
      <w:r w:rsidR="00474FAB">
        <w:t>280-282.</w:t>
      </w:r>
    </w:p>
    <w:p w14:paraId="2BF7A835" w14:textId="0DFFBA5C" w:rsidR="004C7CC8" w:rsidRDefault="00474FAB">
      <w:pPr>
        <w:pStyle w:val="FootnoteText"/>
      </w:pPr>
      <w:r>
        <w:t xml:space="preserve"> </w:t>
      </w:r>
    </w:p>
  </w:footnote>
  <w:footnote w:id="41">
    <w:p w14:paraId="627C6AD0" w14:textId="7A1BA8EC" w:rsidR="00FA0EA5" w:rsidRDefault="001834C6">
      <w:pPr>
        <w:pStyle w:val="FootnoteText"/>
      </w:pPr>
      <w:r>
        <w:tab/>
      </w:r>
      <w:r w:rsidR="00FA0EA5">
        <w:rPr>
          <w:rStyle w:val="FootnoteReference"/>
        </w:rPr>
        <w:footnoteRef/>
      </w:r>
      <w:r w:rsidR="00FA0EA5">
        <w:t xml:space="preserve"> Arnold and Beyer,</w:t>
      </w:r>
      <w:r w:rsidR="00ED1422">
        <w:t xml:space="preserve"> 175. </w:t>
      </w:r>
    </w:p>
    <w:p w14:paraId="265ADBDA" w14:textId="77777777" w:rsidR="00842284" w:rsidRPr="003509CE" w:rsidRDefault="00842284">
      <w:pPr>
        <w:pStyle w:val="FootnoteText"/>
      </w:pPr>
    </w:p>
  </w:footnote>
  <w:footnote w:id="42">
    <w:p w14:paraId="42DDD67D" w14:textId="122C5D19" w:rsidR="00842284" w:rsidRDefault="001834C6">
      <w:pPr>
        <w:pStyle w:val="FootnoteText"/>
      </w:pPr>
      <w:r>
        <w:tab/>
      </w:r>
      <w:r w:rsidR="00842284">
        <w:rPr>
          <w:rStyle w:val="FootnoteReference"/>
        </w:rPr>
        <w:footnoteRef/>
      </w:r>
      <w:r w:rsidR="00842284">
        <w:t xml:space="preserve"> Sophie Laws, “Anoint,”</w:t>
      </w:r>
      <w:r w:rsidR="00675FA4">
        <w:t xml:space="preserve"> </w:t>
      </w:r>
      <w:r w:rsidR="005556ED" w:rsidRPr="00675FA4">
        <w:rPr>
          <w:i/>
          <w:iCs/>
        </w:rPr>
        <w:t>The Oxford Companion to the Bible</w:t>
      </w:r>
      <w:r w:rsidR="005556ED">
        <w:t xml:space="preserve">, 30-31. </w:t>
      </w:r>
    </w:p>
    <w:p w14:paraId="5F322A1C" w14:textId="77777777" w:rsidR="000B1EC4" w:rsidRDefault="000B1EC4">
      <w:pPr>
        <w:pStyle w:val="FootnoteText"/>
      </w:pPr>
    </w:p>
  </w:footnote>
  <w:footnote w:id="43">
    <w:p w14:paraId="6B42A4ED" w14:textId="6967F973" w:rsidR="000B1EC4" w:rsidRDefault="001834C6">
      <w:pPr>
        <w:pStyle w:val="FootnoteText"/>
      </w:pPr>
      <w:r>
        <w:tab/>
      </w:r>
      <w:r w:rsidR="000B1EC4">
        <w:rPr>
          <w:rStyle w:val="FootnoteReference"/>
        </w:rPr>
        <w:footnoteRef/>
      </w:r>
      <w:r w:rsidR="000B1EC4">
        <w:t xml:space="preserve"> </w:t>
      </w:r>
      <w:r w:rsidR="002F259D">
        <w:t>Unger, “GIB’EA</w:t>
      </w:r>
      <w:r w:rsidR="001B3588">
        <w:t xml:space="preserve">H,” 471-472. This article is a </w:t>
      </w:r>
      <w:r w:rsidR="00675FA4">
        <w:t>helpful</w:t>
      </w:r>
      <w:r w:rsidR="001B3588">
        <w:t xml:space="preserve"> source </w:t>
      </w:r>
      <w:r w:rsidR="001855B8">
        <w:t xml:space="preserve">if you </w:t>
      </w:r>
      <w:r w:rsidR="00CC5046">
        <w:t xml:space="preserve">are looking </w:t>
      </w:r>
      <w:r w:rsidR="001B3588">
        <w:t xml:space="preserve">for more information about the archeological discoveries related to Gibeah of Benjamin. </w:t>
      </w:r>
    </w:p>
    <w:p w14:paraId="5ED7A41B" w14:textId="77777777" w:rsidR="00675FA4" w:rsidRDefault="00675FA4">
      <w:pPr>
        <w:pStyle w:val="FootnoteText"/>
      </w:pPr>
    </w:p>
  </w:footnote>
  <w:footnote w:id="44">
    <w:p w14:paraId="1FCFC882" w14:textId="4B90D715" w:rsidR="00894AFE" w:rsidRDefault="001834C6">
      <w:pPr>
        <w:pStyle w:val="FootnoteText"/>
      </w:pPr>
      <w:r>
        <w:tab/>
      </w:r>
      <w:r w:rsidR="00894AFE">
        <w:rPr>
          <w:rStyle w:val="FootnoteReference"/>
        </w:rPr>
        <w:footnoteRef/>
      </w:r>
      <w:r w:rsidR="00894AFE">
        <w:t xml:space="preserve"> </w:t>
      </w:r>
      <w:r w:rsidR="00134D86">
        <w:t xml:space="preserve">Andrews and Bergen, </w:t>
      </w:r>
      <w:r w:rsidR="00675FA4" w:rsidRPr="00675FA4">
        <w:rPr>
          <w:i/>
          <w:iCs/>
        </w:rPr>
        <w:t>HOTC</w:t>
      </w:r>
      <w:r w:rsidR="00675FA4">
        <w:t xml:space="preserve">, </w:t>
      </w:r>
      <w:r w:rsidR="00134D86">
        <w:t xml:space="preserve">66-67. </w:t>
      </w:r>
    </w:p>
    <w:p w14:paraId="37826046" w14:textId="77777777" w:rsidR="0034495E" w:rsidRDefault="0034495E">
      <w:pPr>
        <w:pStyle w:val="FootnoteText"/>
      </w:pPr>
    </w:p>
  </w:footnote>
  <w:footnote w:id="45">
    <w:p w14:paraId="744EBE15" w14:textId="54D9AD4F" w:rsidR="0034495E" w:rsidRDefault="001834C6">
      <w:pPr>
        <w:pStyle w:val="FootnoteText"/>
      </w:pPr>
      <w:r>
        <w:tab/>
      </w:r>
      <w:r w:rsidR="0034495E">
        <w:rPr>
          <w:rStyle w:val="FootnoteReference"/>
        </w:rPr>
        <w:footnoteRef/>
      </w:r>
      <w:r w:rsidR="0034495E">
        <w:t xml:space="preserve"> </w:t>
      </w:r>
      <w:r w:rsidR="007B2CEA">
        <w:t>Wayne T. Pitard, “</w:t>
      </w:r>
      <w:r w:rsidR="00606178">
        <w:t>Ammon</w:t>
      </w:r>
      <w:r w:rsidR="007B2CEA">
        <w:t xml:space="preserve">,” </w:t>
      </w:r>
      <w:r w:rsidR="007B2CEA">
        <w:rPr>
          <w:i/>
          <w:iCs/>
        </w:rPr>
        <w:t>The Oxford Companion to the Bible</w:t>
      </w:r>
      <w:r w:rsidR="007B2CEA">
        <w:t>,</w:t>
      </w:r>
      <w:r w:rsidR="00606178">
        <w:t xml:space="preserve"> 23-24. </w:t>
      </w:r>
    </w:p>
    <w:p w14:paraId="3F390635" w14:textId="77777777" w:rsidR="00933333" w:rsidRDefault="00933333">
      <w:pPr>
        <w:pStyle w:val="FootnoteText"/>
      </w:pPr>
    </w:p>
  </w:footnote>
  <w:footnote w:id="46">
    <w:p w14:paraId="559825E5" w14:textId="7EC0224B" w:rsidR="00933333" w:rsidRDefault="001834C6">
      <w:pPr>
        <w:pStyle w:val="FootnoteText"/>
      </w:pPr>
      <w:r>
        <w:tab/>
      </w:r>
      <w:r w:rsidR="00933333">
        <w:rPr>
          <w:rStyle w:val="FootnoteReference"/>
        </w:rPr>
        <w:footnoteRef/>
      </w:r>
      <w:r w:rsidR="00933333">
        <w:t xml:space="preserve"> </w:t>
      </w:r>
      <w:r w:rsidR="0042408D">
        <w:t xml:space="preserve">Klein, </w:t>
      </w:r>
      <w:r w:rsidR="00675FA4" w:rsidRPr="00675FA4">
        <w:rPr>
          <w:i/>
          <w:iCs/>
        </w:rPr>
        <w:t>WBC</w:t>
      </w:r>
      <w:r w:rsidR="00675FA4">
        <w:t xml:space="preserve">, </w:t>
      </w:r>
      <w:r w:rsidR="0042408D">
        <w:t xml:space="preserve">105-106. </w:t>
      </w:r>
    </w:p>
    <w:p w14:paraId="124B5D2B" w14:textId="77777777" w:rsidR="00666987" w:rsidRDefault="00666987">
      <w:pPr>
        <w:pStyle w:val="FootnoteText"/>
      </w:pPr>
    </w:p>
  </w:footnote>
  <w:footnote w:id="47">
    <w:p w14:paraId="283533BC" w14:textId="2BF0949A" w:rsidR="00666987" w:rsidRDefault="001834C6" w:rsidP="00666987">
      <w:pPr>
        <w:pStyle w:val="FootnoteText"/>
      </w:pPr>
      <w:r>
        <w:tab/>
      </w:r>
      <w:r w:rsidR="00666987">
        <w:rPr>
          <w:rStyle w:val="FootnoteReference"/>
        </w:rPr>
        <w:footnoteRef/>
      </w:r>
      <w:r w:rsidR="00666987">
        <w:t xml:space="preserve"> “Samuel’s Address to Israel,” </w:t>
      </w:r>
      <w:r w:rsidR="00666987">
        <w:rPr>
          <w:i/>
          <w:iCs/>
        </w:rPr>
        <w:t>ESV Study Bible</w:t>
      </w:r>
      <w:r w:rsidR="00675FA4" w:rsidRPr="00675FA4">
        <w:t>,</w:t>
      </w:r>
      <w:r w:rsidR="00675FA4">
        <w:rPr>
          <w:i/>
          <w:iCs/>
        </w:rPr>
        <w:t xml:space="preserve"> </w:t>
      </w:r>
      <w:r w:rsidR="00666987">
        <w:t xml:space="preserve">509. </w:t>
      </w:r>
    </w:p>
    <w:p w14:paraId="1442B305" w14:textId="1C0E6F8B" w:rsidR="00666987" w:rsidRDefault="00666987">
      <w:pPr>
        <w:pStyle w:val="FootnoteText"/>
      </w:pPr>
    </w:p>
  </w:footnote>
  <w:footnote w:id="48">
    <w:p w14:paraId="79C2A9E4" w14:textId="4781AD70" w:rsidR="00ED6DF0" w:rsidRDefault="001834C6">
      <w:pPr>
        <w:pStyle w:val="FootnoteText"/>
      </w:pPr>
      <w:r>
        <w:tab/>
      </w:r>
      <w:r w:rsidR="00ED6DF0">
        <w:rPr>
          <w:rStyle w:val="FootnoteReference"/>
        </w:rPr>
        <w:footnoteRef/>
      </w:r>
      <w:r w:rsidR="00ED6DF0">
        <w:t xml:space="preserve"> Arnold, </w:t>
      </w:r>
      <w:r w:rsidR="00675FA4">
        <w:rPr>
          <w:i/>
          <w:iCs/>
        </w:rPr>
        <w:t>TNAC,</w:t>
      </w:r>
      <w:r w:rsidR="00ED6DF0">
        <w:t xml:space="preserve"> </w:t>
      </w:r>
      <w:r w:rsidR="00B420AD">
        <w:t xml:space="preserve">208. </w:t>
      </w:r>
    </w:p>
    <w:p w14:paraId="7A105C35" w14:textId="77777777" w:rsidR="00C67226" w:rsidRPr="00ED6DF0" w:rsidRDefault="00C67226">
      <w:pPr>
        <w:pStyle w:val="FootnoteText"/>
      </w:pPr>
    </w:p>
  </w:footnote>
  <w:footnote w:id="49">
    <w:p w14:paraId="24A20E70" w14:textId="54E78531" w:rsidR="00C67226" w:rsidRDefault="001834C6">
      <w:pPr>
        <w:pStyle w:val="FootnoteText"/>
      </w:pPr>
      <w:r>
        <w:tab/>
      </w:r>
      <w:r w:rsidR="00C67226">
        <w:rPr>
          <w:rStyle w:val="FootnoteReference"/>
        </w:rPr>
        <w:footnoteRef/>
      </w:r>
      <w:r w:rsidR="00C67226">
        <w:t xml:space="preserve"> </w:t>
      </w:r>
      <w:r w:rsidR="007152D7">
        <w:t>Unger, “</w:t>
      </w:r>
      <w:r w:rsidR="0045353D">
        <w:t>MICH’MAS</w:t>
      </w:r>
      <w:r w:rsidR="007152D7">
        <w:t>,” 851.</w:t>
      </w:r>
    </w:p>
    <w:p w14:paraId="4D307838" w14:textId="77777777" w:rsidR="009C4B93" w:rsidRDefault="009C4B93">
      <w:pPr>
        <w:pStyle w:val="FootnoteText"/>
      </w:pPr>
    </w:p>
  </w:footnote>
  <w:footnote w:id="50">
    <w:p w14:paraId="26F99F2E" w14:textId="50ED8B08" w:rsidR="009C4B93" w:rsidRDefault="001834C6">
      <w:pPr>
        <w:pStyle w:val="FootnoteText"/>
      </w:pPr>
      <w:r>
        <w:tab/>
      </w:r>
      <w:r w:rsidR="009C4B93">
        <w:rPr>
          <w:rStyle w:val="FootnoteReference"/>
        </w:rPr>
        <w:footnoteRef/>
      </w:r>
      <w:r w:rsidR="00E064AB">
        <w:t xml:space="preserve">Unger, “JON”ATHAN,” 706. </w:t>
      </w:r>
    </w:p>
    <w:p w14:paraId="0448C3D0" w14:textId="77777777" w:rsidR="006340E5" w:rsidRDefault="006340E5">
      <w:pPr>
        <w:pStyle w:val="FootnoteText"/>
      </w:pPr>
    </w:p>
  </w:footnote>
  <w:footnote w:id="51">
    <w:p w14:paraId="58B4B2D1" w14:textId="43FB90C4" w:rsidR="00F26616" w:rsidRDefault="001834C6">
      <w:pPr>
        <w:pStyle w:val="FootnoteText"/>
      </w:pPr>
      <w:r>
        <w:tab/>
      </w:r>
      <w:r w:rsidR="00F26616">
        <w:rPr>
          <w:rStyle w:val="FootnoteReference"/>
        </w:rPr>
        <w:footnoteRef/>
      </w:r>
      <w:r w:rsidR="00F26616">
        <w:t xml:space="preserve"> </w:t>
      </w:r>
      <w:r w:rsidR="00612295">
        <w:t xml:space="preserve">Klein, </w:t>
      </w:r>
      <w:r w:rsidR="00675FA4" w:rsidRPr="00675FA4">
        <w:rPr>
          <w:i/>
          <w:iCs/>
        </w:rPr>
        <w:t>WBC</w:t>
      </w:r>
      <w:r w:rsidR="00675FA4">
        <w:t xml:space="preserve">, </w:t>
      </w:r>
      <w:r w:rsidR="00612295">
        <w:t xml:space="preserve">140. </w:t>
      </w:r>
    </w:p>
    <w:p w14:paraId="0D8FA20F" w14:textId="77777777" w:rsidR="006340E5" w:rsidRDefault="006340E5">
      <w:pPr>
        <w:pStyle w:val="FootnoteText"/>
      </w:pPr>
    </w:p>
  </w:footnote>
  <w:footnote w:id="52">
    <w:p w14:paraId="43CC8FA2" w14:textId="24ED8765" w:rsidR="00120936" w:rsidRDefault="001834C6">
      <w:pPr>
        <w:pStyle w:val="FootnoteText"/>
      </w:pPr>
      <w:r>
        <w:tab/>
      </w:r>
      <w:r w:rsidR="00120936">
        <w:rPr>
          <w:rStyle w:val="FootnoteReference"/>
        </w:rPr>
        <w:footnoteRef/>
      </w:r>
      <w:r w:rsidR="00120936">
        <w:t xml:space="preserve"> Klein, </w:t>
      </w:r>
      <w:r w:rsidR="00675FA4" w:rsidRPr="00675FA4">
        <w:rPr>
          <w:i/>
          <w:iCs/>
        </w:rPr>
        <w:t>WBC</w:t>
      </w:r>
      <w:r w:rsidR="00675FA4">
        <w:t xml:space="preserve">, </w:t>
      </w:r>
      <w:r w:rsidR="00FB1C2F">
        <w:t>140.</w:t>
      </w:r>
    </w:p>
    <w:p w14:paraId="5CC0CACB" w14:textId="77777777" w:rsidR="00A37602" w:rsidRDefault="00A37602">
      <w:pPr>
        <w:pStyle w:val="FootnoteText"/>
      </w:pPr>
    </w:p>
  </w:footnote>
  <w:footnote w:id="53">
    <w:p w14:paraId="2ADF0171" w14:textId="11653DEA" w:rsidR="009C2D3D" w:rsidRDefault="001834C6" w:rsidP="00066271">
      <w:pPr>
        <w:pStyle w:val="FootnoteText"/>
      </w:pPr>
      <w:r>
        <w:tab/>
      </w:r>
      <w:r w:rsidR="002971A3">
        <w:rPr>
          <w:rStyle w:val="FootnoteReference"/>
        </w:rPr>
        <w:footnoteRef/>
      </w:r>
      <w:r w:rsidR="002971A3">
        <w:t xml:space="preserve"> </w:t>
      </w:r>
      <w:r w:rsidR="000221EF">
        <w:t xml:space="preserve">Andrews and Bergen, 87. </w:t>
      </w:r>
    </w:p>
    <w:p w14:paraId="07380C1C" w14:textId="12E65F34" w:rsidR="002971A3" w:rsidRDefault="00A37602">
      <w:pPr>
        <w:pStyle w:val="FootnoteText"/>
      </w:pPr>
      <w:r>
        <w:t xml:space="preserve"> </w:t>
      </w:r>
    </w:p>
  </w:footnote>
  <w:footnote w:id="54">
    <w:p w14:paraId="445EEA52" w14:textId="51639C5A" w:rsidR="009C2D3D" w:rsidRDefault="001834C6" w:rsidP="009C2D3D">
      <w:pPr>
        <w:pStyle w:val="FootnoteText"/>
      </w:pPr>
      <w:r>
        <w:tab/>
      </w:r>
      <w:r w:rsidR="009C2D3D">
        <w:rPr>
          <w:rStyle w:val="FootnoteReference"/>
        </w:rPr>
        <w:footnoteRef/>
      </w:r>
      <w:r w:rsidR="009C2D3D">
        <w:t xml:space="preserve"> “The Fall of </w:t>
      </w:r>
      <w:r w:rsidR="00807B8C">
        <w:t>Saul and the Rise of David in 1 Samuel</w:t>
      </w:r>
      <w:r w:rsidR="009C2D3D">
        <w:t xml:space="preserve">,” </w:t>
      </w:r>
      <w:r w:rsidR="009C2D3D">
        <w:rPr>
          <w:i/>
          <w:iCs/>
        </w:rPr>
        <w:t xml:space="preserve">ESV Study </w:t>
      </w:r>
      <w:r w:rsidR="009C2D3D" w:rsidRPr="00675FA4">
        <w:rPr>
          <w:i/>
          <w:iCs/>
        </w:rPr>
        <w:t>Bible</w:t>
      </w:r>
      <w:r w:rsidR="00675FA4">
        <w:t xml:space="preserve">, </w:t>
      </w:r>
      <w:r w:rsidR="00807B8C" w:rsidRPr="00675FA4">
        <w:t>517</w:t>
      </w:r>
      <w:r w:rsidR="009C2D3D">
        <w:t xml:space="preserve">. </w:t>
      </w:r>
    </w:p>
    <w:p w14:paraId="5E29ECAA" w14:textId="08502D6D" w:rsidR="009C2D3D" w:rsidRDefault="009C2D3D">
      <w:pPr>
        <w:pStyle w:val="FootnoteText"/>
      </w:pPr>
    </w:p>
  </w:footnote>
  <w:footnote w:id="55">
    <w:p w14:paraId="5178B346" w14:textId="75721B8F" w:rsidR="00BD7423" w:rsidRDefault="001834C6">
      <w:pPr>
        <w:pStyle w:val="FootnoteText"/>
      </w:pPr>
      <w:r>
        <w:tab/>
      </w:r>
      <w:r w:rsidR="00BD7423">
        <w:rPr>
          <w:rStyle w:val="FootnoteReference"/>
        </w:rPr>
        <w:footnoteRef/>
      </w:r>
      <w:r w:rsidR="00BD7423">
        <w:t xml:space="preserve"> Andrews and Bergen, </w:t>
      </w:r>
      <w:r w:rsidR="00675FA4" w:rsidRPr="00675FA4">
        <w:rPr>
          <w:i/>
          <w:iCs/>
        </w:rPr>
        <w:t>HOTC</w:t>
      </w:r>
      <w:r w:rsidR="00675FA4">
        <w:t xml:space="preserve">, </w:t>
      </w:r>
      <w:r w:rsidR="00B35BF8">
        <w:t xml:space="preserve">110. David M. Gunn </w:t>
      </w:r>
      <w:r w:rsidR="00EF0087">
        <w:t>offers a detailed analysis of David’s life</w:t>
      </w:r>
      <w:r w:rsidR="00AB70D8">
        <w:t xml:space="preserve"> in “</w:t>
      </w:r>
      <w:r w:rsidR="00301174">
        <w:t>David</w:t>
      </w:r>
      <w:r w:rsidR="00AB70D8">
        <w:t xml:space="preserve">,” </w:t>
      </w:r>
      <w:r w:rsidR="00F73B73" w:rsidRPr="00F73B73">
        <w:rPr>
          <w:i/>
          <w:iCs/>
        </w:rPr>
        <w:t>T</w:t>
      </w:r>
      <w:r w:rsidR="00AB70D8" w:rsidRPr="00F73B73">
        <w:rPr>
          <w:i/>
          <w:iCs/>
        </w:rPr>
        <w:t>he Oxford Guide to People &amp; Places of the Bible</w:t>
      </w:r>
      <w:r w:rsidR="00AB70D8">
        <w:t>, ed</w:t>
      </w:r>
      <w:r w:rsidR="00981416">
        <w:t>s.</w:t>
      </w:r>
      <w:r w:rsidR="00AB70D8">
        <w:t xml:space="preserve"> </w:t>
      </w:r>
      <w:r w:rsidR="00301174">
        <w:t>Bruce</w:t>
      </w:r>
      <w:r w:rsidR="00B9486B">
        <w:t xml:space="preserve"> M. Metzger and Michael D. Coogan (</w:t>
      </w:r>
      <w:r w:rsidR="00301174">
        <w:t xml:space="preserve">Oxford: Oxford University Press, 2001), 51-54. </w:t>
      </w:r>
    </w:p>
    <w:p w14:paraId="482F2B82" w14:textId="77777777" w:rsidR="00B91E49" w:rsidRPr="00EF0087" w:rsidRDefault="00B91E49">
      <w:pPr>
        <w:pStyle w:val="FootnoteText"/>
        <w:rPr>
          <w:i/>
          <w:iCs/>
        </w:rPr>
      </w:pPr>
    </w:p>
  </w:footnote>
  <w:footnote w:id="56">
    <w:p w14:paraId="13922B53" w14:textId="294CD6EC" w:rsidR="00B91E49" w:rsidRDefault="001834C6">
      <w:pPr>
        <w:pStyle w:val="FootnoteText"/>
      </w:pPr>
      <w:r>
        <w:tab/>
      </w:r>
      <w:r w:rsidR="00B91E49">
        <w:rPr>
          <w:rStyle w:val="FootnoteReference"/>
        </w:rPr>
        <w:footnoteRef/>
      </w:r>
      <w:r>
        <w:t xml:space="preserve"> </w:t>
      </w:r>
      <w:r w:rsidR="00B91E49">
        <w:t xml:space="preserve">Sherman Elbridge Johnson, “Bethlehem,” </w:t>
      </w:r>
      <w:r w:rsidR="00B974CD">
        <w:rPr>
          <w:i/>
          <w:iCs/>
        </w:rPr>
        <w:t>The Oxford Guide to People &amp; Places of the Bible</w:t>
      </w:r>
      <w:r w:rsidR="00B974CD">
        <w:t xml:space="preserve">, 35. </w:t>
      </w:r>
    </w:p>
    <w:p w14:paraId="0A40F3C7" w14:textId="77777777" w:rsidR="00CB4DDA" w:rsidRPr="00B974CD" w:rsidRDefault="00CB4DDA">
      <w:pPr>
        <w:pStyle w:val="FootnoteText"/>
      </w:pPr>
    </w:p>
  </w:footnote>
  <w:footnote w:id="57">
    <w:p w14:paraId="6AE19013" w14:textId="03DDF401" w:rsidR="00CB4DDA" w:rsidRDefault="001834C6">
      <w:pPr>
        <w:pStyle w:val="FootnoteText"/>
      </w:pPr>
      <w:r>
        <w:tab/>
      </w:r>
      <w:r w:rsidR="00CB4DDA">
        <w:rPr>
          <w:rStyle w:val="FootnoteReference"/>
        </w:rPr>
        <w:footnoteRef/>
      </w:r>
      <w:r w:rsidR="00CB4DDA">
        <w:t xml:space="preserve"> Unger, “GOL’LIATH,” 491. </w:t>
      </w:r>
    </w:p>
    <w:p w14:paraId="533EA138" w14:textId="77777777" w:rsidR="005336E2" w:rsidRDefault="005336E2">
      <w:pPr>
        <w:pStyle w:val="FootnoteText"/>
      </w:pPr>
    </w:p>
  </w:footnote>
  <w:footnote w:id="58">
    <w:p w14:paraId="676B4BA6" w14:textId="74E67CCA" w:rsidR="0044497A" w:rsidRDefault="001834C6">
      <w:pPr>
        <w:pStyle w:val="FootnoteText"/>
      </w:pPr>
      <w:r>
        <w:tab/>
      </w:r>
      <w:r w:rsidR="0044497A">
        <w:rPr>
          <w:rStyle w:val="FootnoteReference"/>
        </w:rPr>
        <w:footnoteRef/>
      </w:r>
      <w:r w:rsidR="0044497A">
        <w:t xml:space="preserve"> </w:t>
      </w:r>
      <w:r w:rsidR="005336E2">
        <w:t xml:space="preserve">Unger states that skeletons </w:t>
      </w:r>
      <w:r w:rsidR="000E05CE">
        <w:t xml:space="preserve">recovered in Palestine </w:t>
      </w:r>
      <w:r w:rsidR="00FC2516">
        <w:t>attest</w:t>
      </w:r>
      <w:r w:rsidR="000E05CE">
        <w:t xml:space="preserve"> </w:t>
      </w:r>
      <w:r w:rsidR="00FC2516">
        <w:t xml:space="preserve">that men as tall as Goliath once lived in the region. See Unger, </w:t>
      </w:r>
      <w:r w:rsidR="002508FE">
        <w:t xml:space="preserve">“GOL’LIATH,” </w:t>
      </w:r>
      <w:r w:rsidR="00FC2516">
        <w:t xml:space="preserve">491. </w:t>
      </w:r>
    </w:p>
    <w:p w14:paraId="43B9D779" w14:textId="77777777" w:rsidR="008E275F" w:rsidRDefault="008E275F">
      <w:pPr>
        <w:pStyle w:val="FootnoteText"/>
      </w:pPr>
    </w:p>
  </w:footnote>
  <w:footnote w:id="59">
    <w:p w14:paraId="68C61FE7" w14:textId="494E3496" w:rsidR="008E275F" w:rsidRDefault="001834C6" w:rsidP="004A317A">
      <w:pPr>
        <w:pStyle w:val="FootnoteText"/>
        <w:ind w:left="720" w:hanging="720"/>
      </w:pPr>
      <w:r>
        <w:tab/>
      </w:r>
      <w:r w:rsidR="008E275F">
        <w:rPr>
          <w:rStyle w:val="FootnoteReference"/>
        </w:rPr>
        <w:footnoteRef/>
      </w:r>
      <w:r w:rsidR="008E275F">
        <w:t xml:space="preserve"> </w:t>
      </w:r>
      <w:r w:rsidR="00570843">
        <w:t xml:space="preserve">Hector Ignacio Avalos, “Goliath,” </w:t>
      </w:r>
      <w:r w:rsidR="00570843">
        <w:rPr>
          <w:i/>
          <w:iCs/>
        </w:rPr>
        <w:t>The Oxford Companion to the Bible</w:t>
      </w:r>
      <w:r w:rsidR="00570843">
        <w:t>, 259</w:t>
      </w:r>
      <w:r w:rsidR="002508FE">
        <w:t>.</w:t>
      </w:r>
    </w:p>
    <w:p w14:paraId="07AB6EC1" w14:textId="77777777" w:rsidR="00570843" w:rsidRPr="004A317A" w:rsidRDefault="00570843" w:rsidP="004A317A">
      <w:pPr>
        <w:pStyle w:val="FootnoteText"/>
        <w:ind w:left="720" w:hanging="720"/>
      </w:pPr>
    </w:p>
  </w:footnote>
  <w:footnote w:id="60">
    <w:p w14:paraId="58DBCC65" w14:textId="3966E733" w:rsidR="004A317A" w:rsidRDefault="001834C6">
      <w:pPr>
        <w:pStyle w:val="FootnoteText"/>
      </w:pPr>
      <w:r>
        <w:tab/>
      </w:r>
      <w:r w:rsidR="004A317A">
        <w:rPr>
          <w:rStyle w:val="FootnoteReference"/>
        </w:rPr>
        <w:footnoteRef/>
      </w:r>
      <w:r w:rsidR="00570843">
        <w:t xml:space="preserve">Avalos, </w:t>
      </w:r>
      <w:r w:rsidR="00A66899">
        <w:t xml:space="preserve">“Goliath,” </w:t>
      </w:r>
      <w:r w:rsidR="002508FE">
        <w:rPr>
          <w:i/>
          <w:iCs/>
        </w:rPr>
        <w:t>The Oxford Companion to the Bible</w:t>
      </w:r>
      <w:r w:rsidR="002508FE">
        <w:t xml:space="preserve">, </w:t>
      </w:r>
      <w:r w:rsidR="00570843">
        <w:t xml:space="preserve">259. </w:t>
      </w:r>
    </w:p>
    <w:p w14:paraId="7B211589" w14:textId="77777777" w:rsidR="004A317A" w:rsidRDefault="004A317A">
      <w:pPr>
        <w:pStyle w:val="FootnoteText"/>
      </w:pPr>
    </w:p>
  </w:footnote>
  <w:footnote w:id="61">
    <w:p w14:paraId="0AC49B34" w14:textId="3BC074D5" w:rsidR="00A53C55" w:rsidRDefault="001834C6">
      <w:pPr>
        <w:pStyle w:val="FootnoteText"/>
      </w:pPr>
      <w:r>
        <w:tab/>
      </w:r>
      <w:r w:rsidR="00A53C55">
        <w:rPr>
          <w:rStyle w:val="FootnoteReference"/>
        </w:rPr>
        <w:footnoteRef/>
      </w:r>
      <w:r w:rsidR="00A53C55">
        <w:t xml:space="preserve"> </w:t>
      </w:r>
      <w:r w:rsidR="00674F5A">
        <w:t xml:space="preserve">Avalos, </w:t>
      </w:r>
      <w:r w:rsidR="00A66899">
        <w:t xml:space="preserve">“Goliath,” </w:t>
      </w:r>
      <w:r w:rsidR="002508FE">
        <w:rPr>
          <w:i/>
          <w:iCs/>
        </w:rPr>
        <w:t>The Oxford Companion to the Bible</w:t>
      </w:r>
      <w:r w:rsidR="002508FE">
        <w:t xml:space="preserve">, </w:t>
      </w:r>
      <w:r w:rsidR="00674F5A">
        <w:t xml:space="preserve">259. </w:t>
      </w:r>
    </w:p>
    <w:p w14:paraId="5A6843E6" w14:textId="77777777" w:rsidR="0028326B" w:rsidRDefault="0028326B">
      <w:pPr>
        <w:pStyle w:val="FootnoteText"/>
      </w:pPr>
    </w:p>
  </w:footnote>
  <w:footnote w:id="62">
    <w:p w14:paraId="3C7C1AAA" w14:textId="3EB6C50F" w:rsidR="0028326B" w:rsidRDefault="001834C6">
      <w:pPr>
        <w:pStyle w:val="FootnoteText"/>
      </w:pPr>
      <w:r>
        <w:tab/>
      </w:r>
      <w:r w:rsidR="0028326B">
        <w:rPr>
          <w:rStyle w:val="FootnoteReference"/>
        </w:rPr>
        <w:footnoteRef/>
      </w:r>
      <w:r w:rsidR="0028326B">
        <w:t xml:space="preserve"> Unger, </w:t>
      </w:r>
      <w:r w:rsidR="002508FE">
        <w:t xml:space="preserve">“GOL’LIATH,” </w:t>
      </w:r>
      <w:r w:rsidR="0028326B">
        <w:t xml:space="preserve">489-490. </w:t>
      </w:r>
    </w:p>
    <w:p w14:paraId="6F0A8A74" w14:textId="77777777" w:rsidR="00AE7B6D" w:rsidRDefault="00AE7B6D">
      <w:pPr>
        <w:pStyle w:val="FootnoteText"/>
      </w:pPr>
    </w:p>
  </w:footnote>
  <w:footnote w:id="63">
    <w:p w14:paraId="14A757B5" w14:textId="04B2B05D" w:rsidR="00AE7B6D" w:rsidRDefault="001834C6">
      <w:pPr>
        <w:pStyle w:val="FootnoteText"/>
      </w:pPr>
      <w:r>
        <w:tab/>
      </w:r>
      <w:r w:rsidR="00AE7B6D">
        <w:rPr>
          <w:rStyle w:val="FootnoteReference"/>
        </w:rPr>
        <w:footnoteRef/>
      </w:r>
      <w:r w:rsidR="00AE7B6D">
        <w:t xml:space="preserve"> </w:t>
      </w:r>
      <w:r w:rsidR="00916333">
        <w:t xml:space="preserve">Bergen, </w:t>
      </w:r>
      <w:r w:rsidR="002508FE" w:rsidRPr="002508FE">
        <w:rPr>
          <w:i/>
          <w:iCs/>
        </w:rPr>
        <w:t>NAC</w:t>
      </w:r>
      <w:r w:rsidR="002508FE">
        <w:t xml:space="preserve">, </w:t>
      </w:r>
      <w:r w:rsidR="00916333">
        <w:t xml:space="preserve">194. </w:t>
      </w:r>
    </w:p>
    <w:p w14:paraId="425F8A93" w14:textId="77777777" w:rsidR="00537E89" w:rsidRDefault="00537E89">
      <w:pPr>
        <w:pStyle w:val="FootnoteText"/>
      </w:pPr>
    </w:p>
  </w:footnote>
  <w:footnote w:id="64">
    <w:p w14:paraId="699BF8FE" w14:textId="56248014" w:rsidR="00537E89" w:rsidRDefault="001834C6">
      <w:pPr>
        <w:pStyle w:val="FootnoteText"/>
      </w:pPr>
      <w:r>
        <w:tab/>
      </w:r>
      <w:r w:rsidR="00537E89">
        <w:rPr>
          <w:rStyle w:val="FootnoteReference"/>
        </w:rPr>
        <w:footnoteRef/>
      </w:r>
      <w:r w:rsidR="00537E89">
        <w:t xml:space="preserve"> Klein</w:t>
      </w:r>
      <w:r w:rsidR="00B014D7">
        <w:t>,</w:t>
      </w:r>
      <w:r w:rsidR="002508FE">
        <w:t xml:space="preserve"> </w:t>
      </w:r>
      <w:r w:rsidR="002508FE" w:rsidRPr="002508FE">
        <w:rPr>
          <w:i/>
          <w:iCs/>
        </w:rPr>
        <w:t>WBC</w:t>
      </w:r>
      <w:r w:rsidR="002508FE">
        <w:t>,</w:t>
      </w:r>
      <w:r w:rsidR="00B014D7">
        <w:t xml:space="preserve"> 188. </w:t>
      </w:r>
    </w:p>
    <w:p w14:paraId="1C11F999" w14:textId="77777777" w:rsidR="0002128B" w:rsidRDefault="0002128B">
      <w:pPr>
        <w:pStyle w:val="FootnoteText"/>
      </w:pPr>
    </w:p>
  </w:footnote>
  <w:footnote w:id="65">
    <w:p w14:paraId="0C719038" w14:textId="5152641E" w:rsidR="0002128B" w:rsidRDefault="001834C6">
      <w:pPr>
        <w:pStyle w:val="FootnoteText"/>
      </w:pPr>
      <w:r>
        <w:tab/>
      </w:r>
      <w:r w:rsidR="0002128B">
        <w:rPr>
          <w:rStyle w:val="FootnoteReference"/>
        </w:rPr>
        <w:footnoteRef/>
      </w:r>
      <w:r w:rsidR="0002128B">
        <w:t xml:space="preserve"> </w:t>
      </w:r>
      <w:r w:rsidR="00F11E53">
        <w:t xml:space="preserve">Andrews and Bergen, </w:t>
      </w:r>
      <w:r w:rsidR="002508FE" w:rsidRPr="002508FE">
        <w:rPr>
          <w:i/>
          <w:iCs/>
        </w:rPr>
        <w:t>HOTC</w:t>
      </w:r>
      <w:r w:rsidR="002508FE">
        <w:t xml:space="preserve">, </w:t>
      </w:r>
      <w:r w:rsidR="00F11E53">
        <w:t xml:space="preserve">132-133. </w:t>
      </w:r>
    </w:p>
    <w:p w14:paraId="4B7D8FCE" w14:textId="77777777" w:rsidR="00760B0D" w:rsidRDefault="00760B0D">
      <w:pPr>
        <w:pStyle w:val="FootnoteText"/>
      </w:pPr>
    </w:p>
  </w:footnote>
  <w:footnote w:id="66">
    <w:p w14:paraId="5AEEBBC5" w14:textId="2DA495FC" w:rsidR="00F94B8D" w:rsidRDefault="001834C6" w:rsidP="00F94B8D">
      <w:pPr>
        <w:pStyle w:val="FootnoteText"/>
      </w:pPr>
      <w:r>
        <w:tab/>
      </w:r>
      <w:r w:rsidR="00F94B8D">
        <w:rPr>
          <w:rStyle w:val="FootnoteReference"/>
        </w:rPr>
        <w:footnoteRef/>
      </w:r>
      <w:r w:rsidR="00F94B8D">
        <w:t xml:space="preserve"> “</w:t>
      </w:r>
      <w:r w:rsidR="00FD37A6">
        <w:t>David Flees from Saul</w:t>
      </w:r>
      <w:r w:rsidR="00F94B8D">
        <w:t xml:space="preserve">,” </w:t>
      </w:r>
      <w:r w:rsidR="00F94B8D">
        <w:rPr>
          <w:i/>
          <w:iCs/>
        </w:rPr>
        <w:t>ESV Study Bible</w:t>
      </w:r>
      <w:r w:rsidR="002508FE" w:rsidRPr="002508FE">
        <w:t>,</w:t>
      </w:r>
      <w:r w:rsidR="002508FE">
        <w:rPr>
          <w:i/>
          <w:iCs/>
        </w:rPr>
        <w:t xml:space="preserve"> </w:t>
      </w:r>
      <w:r w:rsidR="00F94B8D">
        <w:t>5</w:t>
      </w:r>
      <w:r w:rsidR="00FD37A6">
        <w:t>24</w:t>
      </w:r>
      <w:r w:rsidR="00F94B8D">
        <w:t xml:space="preserve">. </w:t>
      </w:r>
    </w:p>
    <w:p w14:paraId="4663333F" w14:textId="13A66A82" w:rsidR="00F94B8D" w:rsidRDefault="00F94B8D">
      <w:pPr>
        <w:pStyle w:val="FootnoteText"/>
      </w:pPr>
    </w:p>
  </w:footnote>
  <w:footnote w:id="67">
    <w:p w14:paraId="34000ABD" w14:textId="019F967A" w:rsidR="00E923A7" w:rsidRDefault="001834C6">
      <w:pPr>
        <w:pStyle w:val="FootnoteText"/>
      </w:pPr>
      <w:r>
        <w:tab/>
      </w:r>
      <w:r w:rsidR="00E923A7">
        <w:rPr>
          <w:rStyle w:val="FootnoteReference"/>
        </w:rPr>
        <w:footnoteRef/>
      </w:r>
      <w:r>
        <w:t xml:space="preserve"> </w:t>
      </w:r>
      <w:r w:rsidR="00E95BD7">
        <w:t>O.</w:t>
      </w:r>
      <w:r w:rsidR="0093769D">
        <w:t xml:space="preserve"> </w:t>
      </w:r>
      <w:r w:rsidR="00E95BD7">
        <w:t>R. Sellers., “</w:t>
      </w:r>
      <w:r w:rsidR="00BA6269">
        <w:t>NOB,”</w:t>
      </w:r>
      <w:r w:rsidR="002508FE" w:rsidRPr="002508FE">
        <w:t xml:space="preserve"> </w:t>
      </w:r>
      <w:r w:rsidR="002508FE">
        <w:t>vol. 3</w:t>
      </w:r>
      <w:r w:rsidR="00BA6269">
        <w:t xml:space="preserve"> </w:t>
      </w:r>
      <w:r w:rsidR="00BF7C92">
        <w:t xml:space="preserve">in the </w:t>
      </w:r>
      <w:r w:rsidR="00BF7C92" w:rsidRPr="004934A9">
        <w:rPr>
          <w:i/>
          <w:iCs/>
        </w:rPr>
        <w:t>Interpreter’s Dictionary of the Bible</w:t>
      </w:r>
      <w:r w:rsidR="00072D6D">
        <w:t>, ed</w:t>
      </w:r>
      <w:r w:rsidR="002508FE">
        <w:t>.</w:t>
      </w:r>
      <w:r w:rsidR="00072D6D">
        <w:t xml:space="preserve"> George Arthur Buttrick (Nashville: Abingdon Press, </w:t>
      </w:r>
      <w:r w:rsidR="00893704">
        <w:t xml:space="preserve">1982), 556-557. </w:t>
      </w:r>
    </w:p>
    <w:p w14:paraId="6FB7A5BD" w14:textId="77777777" w:rsidR="00984C1B" w:rsidRDefault="00984C1B">
      <w:pPr>
        <w:pStyle w:val="FootnoteText"/>
      </w:pPr>
    </w:p>
  </w:footnote>
  <w:footnote w:id="68">
    <w:p w14:paraId="641B870A" w14:textId="69B11D51" w:rsidR="00984C1B" w:rsidRDefault="001834C6">
      <w:pPr>
        <w:pStyle w:val="FootnoteText"/>
      </w:pPr>
      <w:r>
        <w:tab/>
      </w:r>
      <w:r w:rsidR="00984C1B">
        <w:rPr>
          <w:rStyle w:val="FootnoteReference"/>
        </w:rPr>
        <w:footnoteRef/>
      </w:r>
      <w:r w:rsidR="00984C1B">
        <w:t xml:space="preserve"> </w:t>
      </w:r>
      <w:r w:rsidR="00306B69">
        <w:t xml:space="preserve">Andrews and Bergen, </w:t>
      </w:r>
      <w:r w:rsidR="00CE7BB2" w:rsidRPr="00CE7BB2">
        <w:rPr>
          <w:i/>
          <w:iCs/>
        </w:rPr>
        <w:t>HOTC</w:t>
      </w:r>
      <w:r w:rsidR="00CE7BB2">
        <w:t xml:space="preserve">, </w:t>
      </w:r>
      <w:r w:rsidR="00306B69">
        <w:t xml:space="preserve">152. </w:t>
      </w:r>
    </w:p>
    <w:p w14:paraId="3231400A" w14:textId="77777777" w:rsidR="00E8466A" w:rsidRDefault="00E8466A">
      <w:pPr>
        <w:pStyle w:val="FootnoteText"/>
      </w:pPr>
    </w:p>
  </w:footnote>
  <w:footnote w:id="69">
    <w:p w14:paraId="769506BE" w14:textId="706B8CF6" w:rsidR="00E8466A" w:rsidRDefault="001834C6">
      <w:pPr>
        <w:pStyle w:val="FootnoteText"/>
      </w:pPr>
      <w:r>
        <w:tab/>
      </w:r>
      <w:r w:rsidR="00E8466A">
        <w:rPr>
          <w:rStyle w:val="FootnoteReference"/>
        </w:rPr>
        <w:footnoteRef/>
      </w:r>
      <w:r w:rsidR="00E8466A">
        <w:t xml:space="preserve"> </w:t>
      </w:r>
      <w:r w:rsidR="00F36FE9">
        <w:t>J.D. Douglas,</w:t>
      </w:r>
      <w:r w:rsidR="008F68B8">
        <w:t xml:space="preserve"> </w:t>
      </w:r>
      <w:r w:rsidR="00A567C9">
        <w:t>and Merrill C. Tenney, eds.,</w:t>
      </w:r>
      <w:r w:rsidR="008F68B8">
        <w:t xml:space="preserve"> “ADULLAM,” in </w:t>
      </w:r>
      <w:r w:rsidR="008F68B8" w:rsidRPr="004934A9">
        <w:rPr>
          <w:i/>
          <w:iCs/>
        </w:rPr>
        <w:t xml:space="preserve">The </w:t>
      </w:r>
      <w:r w:rsidR="004934A9" w:rsidRPr="004934A9">
        <w:rPr>
          <w:i/>
          <w:iCs/>
        </w:rPr>
        <w:t>N</w:t>
      </w:r>
      <w:r w:rsidR="008F68B8" w:rsidRPr="004934A9">
        <w:rPr>
          <w:i/>
          <w:iCs/>
        </w:rPr>
        <w:t xml:space="preserve">ew </w:t>
      </w:r>
      <w:r w:rsidR="00D1348B" w:rsidRPr="004934A9">
        <w:rPr>
          <w:i/>
          <w:iCs/>
        </w:rPr>
        <w:t>International</w:t>
      </w:r>
      <w:r w:rsidR="008F68B8" w:rsidRPr="004934A9">
        <w:rPr>
          <w:i/>
          <w:iCs/>
        </w:rPr>
        <w:t xml:space="preserve"> </w:t>
      </w:r>
      <w:r w:rsidR="00D1348B" w:rsidRPr="004934A9">
        <w:rPr>
          <w:i/>
          <w:iCs/>
        </w:rPr>
        <w:t>Dictionary</w:t>
      </w:r>
      <w:r w:rsidR="008F68B8" w:rsidRPr="004934A9">
        <w:rPr>
          <w:i/>
          <w:iCs/>
        </w:rPr>
        <w:t xml:space="preserve"> of the Bible</w:t>
      </w:r>
      <w:r w:rsidR="005777FD" w:rsidRPr="004934A9">
        <w:rPr>
          <w:i/>
          <w:iCs/>
        </w:rPr>
        <w:t xml:space="preserve">: </w:t>
      </w:r>
      <w:r w:rsidR="00D1348B" w:rsidRPr="004934A9">
        <w:rPr>
          <w:i/>
          <w:iCs/>
        </w:rPr>
        <w:t>Pictorial</w:t>
      </w:r>
      <w:r w:rsidR="005777FD" w:rsidRPr="004934A9">
        <w:rPr>
          <w:i/>
          <w:iCs/>
        </w:rPr>
        <w:t xml:space="preserve"> Edition</w:t>
      </w:r>
      <w:r w:rsidR="005777FD">
        <w:t xml:space="preserve"> (Grand Rapids: Zondervan, </w:t>
      </w:r>
      <w:r w:rsidR="00D1348B">
        <w:t xml:space="preserve">1987), 19. </w:t>
      </w:r>
    </w:p>
    <w:p w14:paraId="5B1CA080" w14:textId="77777777" w:rsidR="009534F5" w:rsidRDefault="009534F5">
      <w:pPr>
        <w:pStyle w:val="FootnoteText"/>
      </w:pPr>
    </w:p>
  </w:footnote>
  <w:footnote w:id="70">
    <w:p w14:paraId="3617CD43" w14:textId="1E1AB240" w:rsidR="00357BC1" w:rsidRDefault="001834C6">
      <w:pPr>
        <w:pStyle w:val="FootnoteText"/>
      </w:pPr>
      <w:r>
        <w:tab/>
      </w:r>
      <w:r w:rsidR="00357BC1">
        <w:rPr>
          <w:rStyle w:val="FootnoteReference"/>
        </w:rPr>
        <w:footnoteRef/>
      </w:r>
      <w:r w:rsidR="00357BC1">
        <w:t xml:space="preserve"> </w:t>
      </w:r>
      <w:r w:rsidR="009534F5">
        <w:t xml:space="preserve">Unger, “ABI’ATHAR,” </w:t>
      </w:r>
      <w:r w:rsidR="00CF7A75">
        <w:t xml:space="preserve">4. </w:t>
      </w:r>
    </w:p>
    <w:p w14:paraId="56FC840C" w14:textId="77777777" w:rsidR="00606C45" w:rsidRDefault="00606C45">
      <w:pPr>
        <w:pStyle w:val="FootnoteText"/>
      </w:pPr>
    </w:p>
  </w:footnote>
  <w:footnote w:id="71">
    <w:p w14:paraId="3708A176" w14:textId="1B3A6007" w:rsidR="002560C8" w:rsidRDefault="001834C6">
      <w:pPr>
        <w:pStyle w:val="FootnoteText"/>
      </w:pPr>
      <w:r>
        <w:tab/>
      </w:r>
      <w:r w:rsidR="002560C8">
        <w:rPr>
          <w:rStyle w:val="FootnoteReference"/>
        </w:rPr>
        <w:footnoteRef/>
      </w:r>
      <w:r w:rsidR="002560C8">
        <w:t xml:space="preserve"> </w:t>
      </w:r>
      <w:r w:rsidR="004934A9">
        <w:t xml:space="preserve">V.R. Gold, “KELIAH,” </w:t>
      </w:r>
      <w:r w:rsidR="004934A9" w:rsidRPr="004934A9">
        <w:rPr>
          <w:i/>
          <w:iCs/>
        </w:rPr>
        <w:t>Interpreter’s Dictionary of the Bible</w:t>
      </w:r>
      <w:r w:rsidR="004934A9">
        <w:t xml:space="preserve">, </w:t>
      </w:r>
      <w:r w:rsidR="00141868">
        <w:t xml:space="preserve">5. </w:t>
      </w:r>
    </w:p>
    <w:p w14:paraId="7C3C3A56" w14:textId="77777777" w:rsidR="0096121B" w:rsidRDefault="0096121B">
      <w:pPr>
        <w:pStyle w:val="FootnoteText"/>
      </w:pPr>
    </w:p>
  </w:footnote>
  <w:footnote w:id="72">
    <w:p w14:paraId="348804BC" w14:textId="2982C02A" w:rsidR="0096121B" w:rsidRDefault="001834C6">
      <w:pPr>
        <w:pStyle w:val="FootnoteText"/>
      </w:pPr>
      <w:r>
        <w:tab/>
      </w:r>
      <w:r w:rsidR="0096121B">
        <w:rPr>
          <w:rStyle w:val="FootnoteReference"/>
        </w:rPr>
        <w:footnoteRef/>
      </w:r>
      <w:r w:rsidR="0096121B">
        <w:t xml:space="preserve"> </w:t>
      </w:r>
      <w:r w:rsidR="005E32C9">
        <w:t>Unger,</w:t>
      </w:r>
      <w:r w:rsidR="00EB2534">
        <w:t xml:space="preserve"> “ZIPH’ITES,” 1390.</w:t>
      </w:r>
    </w:p>
    <w:p w14:paraId="64053045" w14:textId="77777777" w:rsidR="00C81E11" w:rsidRDefault="00C81E11">
      <w:pPr>
        <w:pStyle w:val="FootnoteText"/>
      </w:pPr>
    </w:p>
  </w:footnote>
  <w:footnote w:id="73">
    <w:p w14:paraId="11216F7F" w14:textId="1812DA03" w:rsidR="00C81E11" w:rsidRDefault="001834C6">
      <w:pPr>
        <w:pStyle w:val="FootnoteText"/>
      </w:pPr>
      <w:r>
        <w:tab/>
      </w:r>
      <w:r w:rsidR="00C81E11">
        <w:rPr>
          <w:rStyle w:val="FootnoteReference"/>
        </w:rPr>
        <w:footnoteRef/>
      </w:r>
      <w:r w:rsidR="00C81E11">
        <w:t xml:space="preserve"> Bergen, </w:t>
      </w:r>
      <w:r w:rsidR="0029504F" w:rsidRPr="0029504F">
        <w:rPr>
          <w:i/>
          <w:iCs/>
        </w:rPr>
        <w:t>NAC</w:t>
      </w:r>
      <w:r w:rsidR="0029504F">
        <w:t xml:space="preserve">, </w:t>
      </w:r>
      <w:r w:rsidR="00EC542F">
        <w:t xml:space="preserve">239. </w:t>
      </w:r>
    </w:p>
    <w:p w14:paraId="12C3F05C" w14:textId="77777777" w:rsidR="00586F32" w:rsidRDefault="00586F32">
      <w:pPr>
        <w:pStyle w:val="FootnoteText"/>
      </w:pPr>
    </w:p>
  </w:footnote>
  <w:footnote w:id="74">
    <w:p w14:paraId="7CF48FB7" w14:textId="264254E5" w:rsidR="008A0D6A" w:rsidRDefault="001834C6">
      <w:pPr>
        <w:pStyle w:val="FootnoteText"/>
      </w:pPr>
      <w:r>
        <w:tab/>
      </w:r>
      <w:r w:rsidR="00586F32">
        <w:rPr>
          <w:rStyle w:val="FootnoteReference"/>
        </w:rPr>
        <w:footnoteRef/>
      </w:r>
      <w:r w:rsidR="00586F32">
        <w:t xml:space="preserve"> </w:t>
      </w:r>
      <w:r w:rsidR="00F569F8">
        <w:t xml:space="preserve">Andrews and Bergen, </w:t>
      </w:r>
      <w:r w:rsidR="0029504F" w:rsidRPr="0029504F">
        <w:rPr>
          <w:i/>
          <w:iCs/>
        </w:rPr>
        <w:t>HOTC</w:t>
      </w:r>
      <w:r w:rsidR="0029504F">
        <w:t xml:space="preserve">, </w:t>
      </w:r>
      <w:r w:rsidR="00F569F8">
        <w:t xml:space="preserve">153. </w:t>
      </w:r>
    </w:p>
    <w:p w14:paraId="374E41F5" w14:textId="77777777" w:rsidR="0029504F" w:rsidRDefault="0029504F">
      <w:pPr>
        <w:pStyle w:val="FootnoteText"/>
      </w:pPr>
    </w:p>
  </w:footnote>
  <w:footnote w:id="75">
    <w:p w14:paraId="4B40B0AC" w14:textId="59BFAAAF" w:rsidR="00B460C6" w:rsidRDefault="001834C6">
      <w:pPr>
        <w:pStyle w:val="FootnoteText"/>
      </w:pPr>
      <w:r>
        <w:tab/>
      </w:r>
      <w:r w:rsidR="00B460C6">
        <w:rPr>
          <w:rStyle w:val="FootnoteReference"/>
        </w:rPr>
        <w:footnoteRef/>
      </w:r>
      <w:r w:rsidR="00B460C6">
        <w:t xml:space="preserve"> Unger, “</w:t>
      </w:r>
      <w:r w:rsidR="00464F12">
        <w:t xml:space="preserve">AHIM’ELECH,” 40. </w:t>
      </w:r>
    </w:p>
    <w:p w14:paraId="53F9C85F" w14:textId="77777777" w:rsidR="008A0D6A" w:rsidRDefault="008A0D6A">
      <w:pPr>
        <w:pStyle w:val="FootnoteText"/>
      </w:pPr>
    </w:p>
  </w:footnote>
  <w:footnote w:id="76">
    <w:p w14:paraId="1F430617" w14:textId="2903DF15" w:rsidR="008A0D6A" w:rsidRDefault="001834C6">
      <w:pPr>
        <w:pStyle w:val="FootnoteText"/>
      </w:pPr>
      <w:r>
        <w:tab/>
      </w:r>
      <w:r w:rsidR="008A0D6A">
        <w:rPr>
          <w:rStyle w:val="FootnoteReference"/>
        </w:rPr>
        <w:footnoteRef/>
      </w:r>
      <w:r w:rsidR="008A0D6A">
        <w:t xml:space="preserve"> Andrews and Bergen, </w:t>
      </w:r>
      <w:r w:rsidR="0029504F" w:rsidRPr="0029504F">
        <w:rPr>
          <w:i/>
          <w:iCs/>
        </w:rPr>
        <w:t>HOTC</w:t>
      </w:r>
      <w:r w:rsidR="0029504F">
        <w:t xml:space="preserve">, </w:t>
      </w:r>
      <w:r w:rsidR="008A0D6A">
        <w:t xml:space="preserve">180. </w:t>
      </w:r>
    </w:p>
    <w:p w14:paraId="04A9E9F7" w14:textId="77777777" w:rsidR="008A0D6A" w:rsidRDefault="008A0D6A">
      <w:pPr>
        <w:pStyle w:val="FootnoteText"/>
      </w:pPr>
    </w:p>
  </w:footnote>
  <w:footnote w:id="77">
    <w:p w14:paraId="1A3E631C" w14:textId="68F50DD3" w:rsidR="008A0D6A" w:rsidRDefault="001834C6">
      <w:pPr>
        <w:pStyle w:val="FootnoteText"/>
      </w:pPr>
      <w:r>
        <w:tab/>
      </w:r>
      <w:r w:rsidR="008A0D6A">
        <w:rPr>
          <w:rStyle w:val="FootnoteReference"/>
        </w:rPr>
        <w:footnoteRef/>
      </w:r>
      <w:r w:rsidR="008A0D6A">
        <w:t xml:space="preserve"> </w:t>
      </w:r>
      <w:r w:rsidR="009F1B76">
        <w:t>V.</w:t>
      </w:r>
      <w:r w:rsidR="00FD233F">
        <w:t xml:space="preserve"> </w:t>
      </w:r>
      <w:r w:rsidR="009F1B76">
        <w:t xml:space="preserve">R. Gold, “ZIKLAG,” </w:t>
      </w:r>
      <w:r w:rsidR="009F1B76" w:rsidRPr="004934A9">
        <w:rPr>
          <w:i/>
          <w:iCs/>
        </w:rPr>
        <w:t>Interpreter’s Dictionary of the Bible</w:t>
      </w:r>
      <w:r w:rsidR="009F1B76">
        <w:t>,</w:t>
      </w:r>
      <w:r w:rsidR="0029504F">
        <w:t xml:space="preserve"> </w:t>
      </w:r>
      <w:r w:rsidR="00D30209">
        <w:t>957</w:t>
      </w:r>
      <w:r w:rsidR="009F1B76">
        <w:t>.</w:t>
      </w:r>
    </w:p>
    <w:p w14:paraId="4D968DD5" w14:textId="77777777" w:rsidR="00514FAE" w:rsidRDefault="00514FAE">
      <w:pPr>
        <w:pStyle w:val="FootnoteText"/>
      </w:pPr>
    </w:p>
  </w:footnote>
  <w:footnote w:id="78">
    <w:p w14:paraId="2B745657" w14:textId="3BF7BAFF" w:rsidR="00D23F7C" w:rsidRDefault="001834C6">
      <w:pPr>
        <w:pStyle w:val="FootnoteText"/>
      </w:pPr>
      <w:r>
        <w:tab/>
      </w:r>
      <w:r w:rsidR="00D23F7C">
        <w:rPr>
          <w:rStyle w:val="FootnoteReference"/>
        </w:rPr>
        <w:footnoteRef/>
      </w:r>
      <w:r w:rsidR="00D23F7C">
        <w:t xml:space="preserve"> Berg</w:t>
      </w:r>
      <w:r w:rsidR="007A2211">
        <w:t>e</w:t>
      </w:r>
      <w:r w:rsidR="00D23F7C">
        <w:t xml:space="preserve">n, </w:t>
      </w:r>
      <w:r w:rsidR="00ED064A" w:rsidRPr="00ED064A">
        <w:rPr>
          <w:i/>
          <w:iCs/>
        </w:rPr>
        <w:t>NAC</w:t>
      </w:r>
      <w:r w:rsidR="00ED064A">
        <w:t xml:space="preserve">, </w:t>
      </w:r>
      <w:r w:rsidR="00E50651">
        <w:t>263.</w:t>
      </w:r>
    </w:p>
    <w:p w14:paraId="6E747742" w14:textId="77777777" w:rsidR="00E50651" w:rsidRDefault="00E50651">
      <w:pPr>
        <w:pStyle w:val="FootnoteText"/>
      </w:pPr>
    </w:p>
  </w:footnote>
  <w:footnote w:id="79">
    <w:p w14:paraId="064B6F52" w14:textId="29CDA0D4" w:rsidR="00E50651" w:rsidRDefault="001834C6">
      <w:pPr>
        <w:pStyle w:val="FootnoteText"/>
      </w:pPr>
      <w:r>
        <w:tab/>
      </w:r>
      <w:r w:rsidR="00E50651">
        <w:rPr>
          <w:rStyle w:val="FootnoteReference"/>
        </w:rPr>
        <w:footnoteRef/>
      </w:r>
      <w:r w:rsidR="00E50651">
        <w:t xml:space="preserve"> Berg</w:t>
      </w:r>
      <w:r w:rsidR="007A2211">
        <w:t>e</w:t>
      </w:r>
      <w:r w:rsidR="00E50651">
        <w:t xml:space="preserve">n, </w:t>
      </w:r>
      <w:r w:rsidR="00ED064A" w:rsidRPr="00ED064A">
        <w:rPr>
          <w:i/>
          <w:iCs/>
        </w:rPr>
        <w:t>NAC</w:t>
      </w:r>
      <w:r w:rsidR="00ED064A">
        <w:t xml:space="preserve">, </w:t>
      </w:r>
      <w:r w:rsidR="00E50651">
        <w:t xml:space="preserve">263. </w:t>
      </w:r>
    </w:p>
    <w:p w14:paraId="5CD95162" w14:textId="77777777" w:rsidR="00093621" w:rsidRDefault="00093621">
      <w:pPr>
        <w:pStyle w:val="FootnoteText"/>
      </w:pPr>
    </w:p>
  </w:footnote>
  <w:footnote w:id="80">
    <w:p w14:paraId="79CC52B2" w14:textId="066A04D6" w:rsidR="00093621" w:rsidRDefault="001834C6">
      <w:pPr>
        <w:pStyle w:val="FootnoteText"/>
      </w:pPr>
      <w:r>
        <w:tab/>
      </w:r>
      <w:r w:rsidR="00093621">
        <w:rPr>
          <w:rStyle w:val="FootnoteReference"/>
        </w:rPr>
        <w:footnoteRef/>
      </w:r>
      <w:r w:rsidR="00093621">
        <w:t xml:space="preserve"> </w:t>
      </w:r>
      <w:r w:rsidR="00E07E7B">
        <w:t xml:space="preserve">En-dor was about 4.5 miles </w:t>
      </w:r>
      <w:r w:rsidR="000769C8">
        <w:t>northeast</w:t>
      </w:r>
      <w:r w:rsidR="00FA0031">
        <w:t xml:space="preserve"> of Shunem, where the </w:t>
      </w:r>
      <w:r w:rsidR="00606C45">
        <w:t>Philistines</w:t>
      </w:r>
      <w:r w:rsidR="00FA0031">
        <w:t xml:space="preserve"> were camped at that time. So, En-dor was on the other side of the enemy from where Saul was camped. This is one reason </w:t>
      </w:r>
      <w:r w:rsidR="00ED064A">
        <w:t>Saul</w:t>
      </w:r>
      <w:r w:rsidR="00FA0031">
        <w:t xml:space="preserve"> wore</w:t>
      </w:r>
      <w:r w:rsidR="00606C45">
        <w:t xml:space="preserve"> a disguise and took bodyguards. </w:t>
      </w:r>
      <w:r w:rsidR="00131AA4">
        <w:t xml:space="preserve">See “En-dor,” </w:t>
      </w:r>
      <w:r w:rsidR="00131AA4">
        <w:rPr>
          <w:i/>
          <w:iCs/>
        </w:rPr>
        <w:t>ESV Study Bible</w:t>
      </w:r>
      <w:r w:rsidR="00131AA4">
        <w:t xml:space="preserve">, 536. </w:t>
      </w:r>
    </w:p>
    <w:p w14:paraId="3996C1C8" w14:textId="77777777" w:rsidR="00131AA4" w:rsidRDefault="00131AA4">
      <w:pPr>
        <w:pStyle w:val="FootnoteText"/>
      </w:pPr>
    </w:p>
  </w:footnote>
  <w:footnote w:id="81">
    <w:p w14:paraId="7EFF9F06" w14:textId="281FD386" w:rsidR="00131AA4" w:rsidRDefault="001834C6">
      <w:pPr>
        <w:pStyle w:val="FootnoteText"/>
      </w:pPr>
      <w:r>
        <w:tab/>
      </w:r>
      <w:r w:rsidR="00131AA4">
        <w:rPr>
          <w:rStyle w:val="FootnoteReference"/>
        </w:rPr>
        <w:footnoteRef/>
      </w:r>
      <w:r w:rsidR="00131AA4">
        <w:t xml:space="preserve"> Klein, </w:t>
      </w:r>
      <w:r w:rsidR="00ED064A" w:rsidRPr="00ED064A">
        <w:rPr>
          <w:i/>
          <w:iCs/>
        </w:rPr>
        <w:t>WBC</w:t>
      </w:r>
      <w:r w:rsidR="00ED064A">
        <w:t xml:space="preserve">, </w:t>
      </w:r>
      <w:r w:rsidR="00B22033">
        <w:t xml:space="preserve">271. </w:t>
      </w:r>
    </w:p>
    <w:p w14:paraId="603E0F64" w14:textId="77777777" w:rsidR="009D5F55" w:rsidRDefault="009D5F55">
      <w:pPr>
        <w:pStyle w:val="FootnoteText"/>
      </w:pPr>
    </w:p>
  </w:footnote>
  <w:footnote w:id="82">
    <w:p w14:paraId="604AAF18" w14:textId="6802882E" w:rsidR="009D5F55" w:rsidRDefault="001834C6">
      <w:pPr>
        <w:pStyle w:val="FootnoteText"/>
      </w:pPr>
      <w:r>
        <w:tab/>
      </w:r>
      <w:r w:rsidR="009D5F55">
        <w:rPr>
          <w:rStyle w:val="FootnoteReference"/>
        </w:rPr>
        <w:footnoteRef/>
      </w:r>
      <w:r w:rsidR="009D5F55">
        <w:t xml:space="preserve"> Bergen, </w:t>
      </w:r>
      <w:r w:rsidR="007A2211" w:rsidRPr="00ED064A">
        <w:rPr>
          <w:i/>
          <w:iCs/>
        </w:rPr>
        <w:t>NAC</w:t>
      </w:r>
      <w:r w:rsidR="007A2211">
        <w:t xml:space="preserve">, </w:t>
      </w:r>
      <w:r w:rsidR="0034652E">
        <w:t xml:space="preserve">266-267. </w:t>
      </w:r>
    </w:p>
    <w:p w14:paraId="54AFD081" w14:textId="77777777" w:rsidR="00201B7A" w:rsidRDefault="00201B7A">
      <w:pPr>
        <w:pStyle w:val="FootnoteText"/>
      </w:pPr>
    </w:p>
  </w:footnote>
  <w:footnote w:id="83">
    <w:p w14:paraId="5D50B335" w14:textId="442F3802" w:rsidR="00201B7A" w:rsidRDefault="001834C6">
      <w:pPr>
        <w:pStyle w:val="FootnoteText"/>
      </w:pPr>
      <w:r>
        <w:tab/>
      </w:r>
      <w:r w:rsidR="00201B7A">
        <w:rPr>
          <w:rStyle w:val="FootnoteReference"/>
        </w:rPr>
        <w:footnoteRef/>
      </w:r>
      <w:r w:rsidR="00201B7A">
        <w:t xml:space="preserve"> Bergen,</w:t>
      </w:r>
      <w:r w:rsidR="007A2211" w:rsidRPr="007A2211">
        <w:rPr>
          <w:i/>
          <w:iCs/>
        </w:rPr>
        <w:t xml:space="preserve"> </w:t>
      </w:r>
      <w:r w:rsidR="007A2211" w:rsidRPr="00ED064A">
        <w:rPr>
          <w:i/>
          <w:iCs/>
        </w:rPr>
        <w:t>NAC</w:t>
      </w:r>
      <w:r w:rsidR="007A2211" w:rsidRPr="007A2211">
        <w:t>,</w:t>
      </w:r>
      <w:r w:rsidR="00201B7A">
        <w:t xml:space="preserve"> 267. </w:t>
      </w:r>
    </w:p>
    <w:p w14:paraId="0E3407C1" w14:textId="77777777" w:rsidR="006866EA" w:rsidRDefault="006866EA">
      <w:pPr>
        <w:pStyle w:val="FootnoteText"/>
      </w:pPr>
    </w:p>
  </w:footnote>
  <w:footnote w:id="84">
    <w:p w14:paraId="7142D6C8" w14:textId="10994B1C" w:rsidR="004E61E8" w:rsidRDefault="001834C6">
      <w:pPr>
        <w:pStyle w:val="FootnoteText"/>
      </w:pPr>
      <w:r>
        <w:tab/>
      </w:r>
      <w:r w:rsidR="004E61E8">
        <w:rPr>
          <w:rStyle w:val="FootnoteReference"/>
        </w:rPr>
        <w:footnoteRef/>
      </w:r>
      <w:r>
        <w:t xml:space="preserve"> </w:t>
      </w:r>
      <w:r w:rsidR="007B4AEA">
        <w:t>W. L. Reed,</w:t>
      </w:r>
      <w:r w:rsidR="004E61E8">
        <w:t xml:space="preserve"> </w:t>
      </w:r>
      <w:r w:rsidR="0045777D">
        <w:t xml:space="preserve">“GILBOA, MOUNT,” </w:t>
      </w:r>
      <w:r w:rsidR="0045777D" w:rsidRPr="004934A9">
        <w:rPr>
          <w:i/>
          <w:iCs/>
        </w:rPr>
        <w:t>Interpreter’s Dictionary of the Bible</w:t>
      </w:r>
      <w:r w:rsidR="0045777D">
        <w:t xml:space="preserve">, </w:t>
      </w:r>
      <w:r w:rsidR="007B4AEA">
        <w:t>396-397</w:t>
      </w:r>
      <w:r w:rsidR="0045777D">
        <w:t>.</w:t>
      </w:r>
    </w:p>
    <w:p w14:paraId="09C17291" w14:textId="77777777" w:rsidR="00D348A0" w:rsidRDefault="00D348A0">
      <w:pPr>
        <w:pStyle w:val="FootnoteText"/>
      </w:pPr>
    </w:p>
  </w:footnote>
  <w:footnote w:id="85">
    <w:p w14:paraId="29421040" w14:textId="033B16BF" w:rsidR="00D348A0" w:rsidRDefault="001834C6">
      <w:pPr>
        <w:pStyle w:val="FootnoteText"/>
      </w:pPr>
      <w:r>
        <w:tab/>
      </w:r>
      <w:r w:rsidR="00D348A0">
        <w:rPr>
          <w:rStyle w:val="FootnoteReference"/>
        </w:rPr>
        <w:footnoteRef/>
      </w:r>
      <w:r w:rsidR="00D348A0">
        <w:t xml:space="preserve"> Andrews and Bergen, </w:t>
      </w:r>
      <w:r w:rsidR="000737ED" w:rsidRPr="000737ED">
        <w:rPr>
          <w:i/>
          <w:iCs/>
        </w:rPr>
        <w:t>HOTC</w:t>
      </w:r>
      <w:r w:rsidR="000737ED">
        <w:t xml:space="preserve">, </w:t>
      </w:r>
      <w:r w:rsidR="000F1969">
        <w:t xml:space="preserve">181. </w:t>
      </w:r>
    </w:p>
    <w:p w14:paraId="3F9F7B47" w14:textId="63E32399" w:rsidR="0097062D" w:rsidRDefault="001834C6">
      <w:pPr>
        <w:pStyle w:val="FootnoteText"/>
      </w:pPr>
      <w:r>
        <w:tab/>
      </w:r>
    </w:p>
  </w:footnote>
  <w:footnote w:id="86">
    <w:p w14:paraId="4C53D2E0" w14:textId="1BD987CA" w:rsidR="0097062D" w:rsidRDefault="001834C6">
      <w:pPr>
        <w:pStyle w:val="FootnoteText"/>
      </w:pPr>
      <w:r>
        <w:tab/>
      </w:r>
      <w:r w:rsidR="0097062D">
        <w:rPr>
          <w:rStyle w:val="FootnoteReference"/>
        </w:rPr>
        <w:footnoteRef/>
      </w:r>
      <w:r w:rsidR="0097062D">
        <w:t xml:space="preserve"> </w:t>
      </w:r>
      <w:r w:rsidR="00760B0D">
        <w:t xml:space="preserve">Susan Ackerman, “Astarte,” </w:t>
      </w:r>
      <w:r w:rsidR="00220F65">
        <w:rPr>
          <w:i/>
          <w:iCs/>
        </w:rPr>
        <w:t>The Oxford Companion to the Bible</w:t>
      </w:r>
      <w:r w:rsidR="00220F65">
        <w:t>, 64.</w:t>
      </w:r>
    </w:p>
  </w:footnote>
  <w:footnote w:id="87">
    <w:p w14:paraId="6357E37A" w14:textId="0CE44002" w:rsidR="00BA5487" w:rsidRDefault="001834C6">
      <w:pPr>
        <w:pStyle w:val="FootnoteText"/>
      </w:pPr>
      <w:r>
        <w:tab/>
      </w:r>
      <w:r w:rsidR="00BA5487">
        <w:rPr>
          <w:rStyle w:val="FootnoteReference"/>
        </w:rPr>
        <w:footnoteRef/>
      </w:r>
      <w:r w:rsidR="00BA5487">
        <w:t xml:space="preserve"> Bergen, </w:t>
      </w:r>
      <w:r w:rsidR="000D4841" w:rsidRPr="000D4841">
        <w:rPr>
          <w:i/>
          <w:iCs/>
        </w:rPr>
        <w:t>NAC</w:t>
      </w:r>
      <w:r w:rsidR="000D4841">
        <w:t xml:space="preserve">, </w:t>
      </w:r>
      <w:r w:rsidR="00BA5487">
        <w:t>28</w:t>
      </w:r>
      <w:r w:rsidR="00BE5C25">
        <w:t>8</w:t>
      </w:r>
      <w:r w:rsidR="00BA5487">
        <w:t xml:space="preserve">. </w:t>
      </w:r>
    </w:p>
    <w:p w14:paraId="74569520" w14:textId="77777777" w:rsidR="00BA5487" w:rsidRDefault="00BA5487">
      <w:pPr>
        <w:pStyle w:val="FootnoteText"/>
      </w:pPr>
    </w:p>
  </w:footnote>
  <w:footnote w:id="88">
    <w:p w14:paraId="69A705D4" w14:textId="2B783D0F" w:rsidR="00190A8F" w:rsidRDefault="001834C6">
      <w:pPr>
        <w:pStyle w:val="FootnoteText"/>
      </w:pPr>
      <w:r>
        <w:tab/>
      </w:r>
      <w:r w:rsidR="00190A8F">
        <w:rPr>
          <w:rStyle w:val="FootnoteReference"/>
        </w:rPr>
        <w:footnoteRef/>
      </w:r>
      <w:r w:rsidR="00190A8F">
        <w:t xml:space="preserve"> Bergen, </w:t>
      </w:r>
      <w:r w:rsidR="000D4841" w:rsidRPr="000D4841">
        <w:rPr>
          <w:i/>
          <w:iCs/>
        </w:rPr>
        <w:t>NAC</w:t>
      </w:r>
      <w:r w:rsidR="000D4841">
        <w:t xml:space="preserve">, </w:t>
      </w:r>
      <w:r w:rsidR="00190A8F">
        <w:t xml:space="preserve">288. </w:t>
      </w:r>
    </w:p>
    <w:p w14:paraId="007B7794" w14:textId="77777777" w:rsidR="00417BF1" w:rsidRDefault="00417BF1">
      <w:pPr>
        <w:pStyle w:val="FootnoteText"/>
      </w:pPr>
    </w:p>
  </w:footnote>
  <w:footnote w:id="89">
    <w:p w14:paraId="53B7BC89" w14:textId="3ECB38FD" w:rsidR="00417BF1" w:rsidRDefault="001834C6">
      <w:pPr>
        <w:pStyle w:val="FootnoteText"/>
      </w:pPr>
      <w:r>
        <w:tab/>
      </w:r>
      <w:r w:rsidR="00417BF1">
        <w:rPr>
          <w:rStyle w:val="FootnoteReference"/>
        </w:rPr>
        <w:footnoteRef/>
      </w:r>
      <w:r w:rsidR="00417BF1">
        <w:t xml:space="preserve"> </w:t>
      </w:r>
      <w:r w:rsidR="000D02B1">
        <w:t xml:space="preserve">A.A. Anderson, </w:t>
      </w:r>
      <w:r w:rsidR="000D02B1">
        <w:rPr>
          <w:i/>
          <w:iCs/>
        </w:rPr>
        <w:t>2 Samuel</w:t>
      </w:r>
      <w:r w:rsidR="00581D1E">
        <w:t>,</w:t>
      </w:r>
      <w:r w:rsidR="00565B44" w:rsidRPr="00565B44">
        <w:t xml:space="preserve"> </w:t>
      </w:r>
      <w:r w:rsidR="00581D1E">
        <w:t>v</w:t>
      </w:r>
      <w:r w:rsidR="00565B44">
        <w:t xml:space="preserve">ol. 11 of the </w:t>
      </w:r>
      <w:r w:rsidR="00565B44" w:rsidRPr="00581D1E">
        <w:rPr>
          <w:i/>
          <w:iCs/>
        </w:rPr>
        <w:t>Word Biblical Commentary</w:t>
      </w:r>
      <w:r w:rsidR="00565B44">
        <w:t>, ed</w:t>
      </w:r>
      <w:r w:rsidR="00581D1E">
        <w:t>s.</w:t>
      </w:r>
      <w:r w:rsidR="00565B44">
        <w:t xml:space="preserve"> David A. Hubbard and Glenn W. Barker</w:t>
      </w:r>
      <w:r w:rsidR="00581D1E">
        <w:t xml:space="preserve"> (</w:t>
      </w:r>
      <w:r w:rsidR="0007663F">
        <w:t>Dallas</w:t>
      </w:r>
      <w:r w:rsidR="00565B44">
        <w:t>: World Books, 198</w:t>
      </w:r>
      <w:r w:rsidR="0007663F">
        <w:t>9</w:t>
      </w:r>
      <w:r w:rsidR="00581D1E">
        <w:t xml:space="preserve">), </w:t>
      </w:r>
      <w:r w:rsidR="00BD56E2">
        <w:t xml:space="preserve">14. </w:t>
      </w:r>
    </w:p>
    <w:p w14:paraId="06535778" w14:textId="77777777" w:rsidR="00492A98" w:rsidRPr="00565B44" w:rsidRDefault="00492A98">
      <w:pPr>
        <w:pStyle w:val="FootnoteText"/>
      </w:pPr>
    </w:p>
  </w:footnote>
  <w:footnote w:id="90">
    <w:p w14:paraId="5492961B" w14:textId="1556169F" w:rsidR="00492A98" w:rsidRDefault="001834C6">
      <w:pPr>
        <w:pStyle w:val="FootnoteText"/>
      </w:pPr>
      <w:r>
        <w:tab/>
      </w:r>
      <w:r w:rsidR="00492A98">
        <w:rPr>
          <w:rStyle w:val="FootnoteReference"/>
        </w:rPr>
        <w:footnoteRef/>
      </w:r>
      <w:r w:rsidR="00492A98">
        <w:t xml:space="preserve"> </w:t>
      </w:r>
      <w:r w:rsidR="00514FAE">
        <w:t xml:space="preserve">Douglas, “ABNER,” </w:t>
      </w:r>
      <w:r w:rsidR="00514FAE" w:rsidRPr="004934A9">
        <w:rPr>
          <w:i/>
          <w:iCs/>
        </w:rPr>
        <w:t>The New International Dictionary of the Bible: Pictorial Edition</w:t>
      </w:r>
      <w:r w:rsidR="00514FAE">
        <w:t>,</w:t>
      </w:r>
      <w:r w:rsidR="00264508">
        <w:t xml:space="preserve"> 6.</w:t>
      </w:r>
    </w:p>
    <w:p w14:paraId="3C739761" w14:textId="77777777" w:rsidR="00081FE8" w:rsidRDefault="00081FE8">
      <w:pPr>
        <w:pStyle w:val="FootnoteText"/>
      </w:pPr>
    </w:p>
  </w:footnote>
  <w:footnote w:id="91">
    <w:p w14:paraId="19FDD9B8" w14:textId="03CE2617" w:rsidR="00D9667B" w:rsidRPr="006A6CB6" w:rsidRDefault="001834C6">
      <w:pPr>
        <w:pStyle w:val="FootnoteText"/>
      </w:pPr>
      <w:r>
        <w:tab/>
      </w:r>
      <w:r w:rsidR="006B61D9">
        <w:rPr>
          <w:rStyle w:val="FootnoteReference"/>
        </w:rPr>
        <w:footnoteRef/>
      </w:r>
      <w:r w:rsidR="006B61D9">
        <w:t xml:space="preserve"> </w:t>
      </w:r>
      <w:r w:rsidR="000E4426">
        <w:t>Ronald F. Youngblood</w:t>
      </w:r>
      <w:r w:rsidR="006A6CB6">
        <w:t xml:space="preserve">, </w:t>
      </w:r>
      <w:r w:rsidR="000E4426">
        <w:t>F.F. Bruce, and R.K. Harrison, eds., “JOAB</w:t>
      </w:r>
      <w:r w:rsidR="006A6CB6">
        <w:t xml:space="preserve">,” in </w:t>
      </w:r>
      <w:r w:rsidR="006A6CB6">
        <w:rPr>
          <w:i/>
          <w:iCs/>
        </w:rPr>
        <w:t>Nelson’s Compact Series: Compact Bible Dictionary</w:t>
      </w:r>
      <w:r w:rsidR="006A6CB6">
        <w:t xml:space="preserve">, </w:t>
      </w:r>
      <w:r w:rsidR="00AC2ED1">
        <w:t>(</w:t>
      </w:r>
      <w:r w:rsidR="00D9667B">
        <w:t xml:space="preserve">Nashville: Thomas Nelson, 2004), 326-327. </w:t>
      </w:r>
      <w:r w:rsidR="00A96FDB">
        <w:t>For a more comprehensive overview of Joab’s life, see Unger, “</w:t>
      </w:r>
      <w:r w:rsidR="00B365DF">
        <w:t xml:space="preserve">JOAB,” 692-693. </w:t>
      </w:r>
    </w:p>
  </w:footnote>
  <w:footnote w:id="92">
    <w:p w14:paraId="3FDFA694" w14:textId="77777777" w:rsidR="001C74A5" w:rsidRDefault="001834C6">
      <w:pPr>
        <w:pStyle w:val="FootnoteText"/>
      </w:pPr>
      <w:r>
        <w:tab/>
      </w:r>
    </w:p>
    <w:p w14:paraId="02B2A7E5" w14:textId="02066438" w:rsidR="00081FE8" w:rsidRDefault="001C74A5">
      <w:pPr>
        <w:pStyle w:val="FootnoteText"/>
      </w:pPr>
      <w:r>
        <w:tab/>
      </w:r>
      <w:r w:rsidR="00081FE8">
        <w:rPr>
          <w:rStyle w:val="FootnoteReference"/>
        </w:rPr>
        <w:footnoteRef/>
      </w:r>
      <w:r w:rsidR="00081FE8">
        <w:t xml:space="preserve"> Andrews and Bergen, </w:t>
      </w:r>
      <w:r w:rsidR="0090129E" w:rsidRPr="0090129E">
        <w:rPr>
          <w:i/>
          <w:iCs/>
        </w:rPr>
        <w:t>HOTC</w:t>
      </w:r>
      <w:r w:rsidR="0090129E">
        <w:t xml:space="preserve">, </w:t>
      </w:r>
      <w:r w:rsidR="00081FE8">
        <w:t xml:space="preserve">202. </w:t>
      </w:r>
    </w:p>
    <w:p w14:paraId="2C2164C6" w14:textId="77777777" w:rsidR="00D9667B" w:rsidRDefault="00D9667B">
      <w:pPr>
        <w:pStyle w:val="FootnoteText"/>
      </w:pPr>
    </w:p>
  </w:footnote>
  <w:footnote w:id="93">
    <w:p w14:paraId="6397CE07" w14:textId="259FE9E5" w:rsidR="003F7431" w:rsidRDefault="007B5E29">
      <w:pPr>
        <w:pStyle w:val="FootnoteText"/>
      </w:pPr>
      <w:r>
        <w:tab/>
      </w:r>
      <w:r w:rsidR="003F7431">
        <w:rPr>
          <w:rStyle w:val="FootnoteReference"/>
        </w:rPr>
        <w:footnoteRef/>
      </w:r>
      <w:r w:rsidR="003F7431">
        <w:t xml:space="preserve"> </w:t>
      </w:r>
      <w:r w:rsidR="00C50928">
        <w:t xml:space="preserve">Michael D. Coogan, </w:t>
      </w:r>
      <w:r w:rsidR="00F51163">
        <w:t>“</w:t>
      </w:r>
      <w:r w:rsidR="00C50928">
        <w:t>HEBRON</w:t>
      </w:r>
      <w:r w:rsidR="005736FD">
        <w:t>,</w:t>
      </w:r>
      <w:r w:rsidR="00F51163">
        <w:t>”</w:t>
      </w:r>
      <w:r w:rsidR="00C50928">
        <w:t xml:space="preserve"> </w:t>
      </w:r>
      <w:r w:rsidR="00C50928" w:rsidRPr="00F51163">
        <w:rPr>
          <w:i/>
          <w:iCs/>
        </w:rPr>
        <w:t>The Oxford Guide to Peoples and Places of the B</w:t>
      </w:r>
      <w:r w:rsidR="00F51163" w:rsidRPr="00F51163">
        <w:rPr>
          <w:i/>
          <w:iCs/>
        </w:rPr>
        <w:t>i</w:t>
      </w:r>
      <w:r w:rsidR="00C50928" w:rsidRPr="00F51163">
        <w:rPr>
          <w:i/>
          <w:iCs/>
        </w:rPr>
        <w:t>ble</w:t>
      </w:r>
      <w:r w:rsidR="00F51163">
        <w:t xml:space="preserve">, 99. </w:t>
      </w:r>
    </w:p>
    <w:p w14:paraId="5B1D6E26" w14:textId="77777777" w:rsidR="00252F94" w:rsidRDefault="00252F94">
      <w:pPr>
        <w:pStyle w:val="FootnoteText"/>
      </w:pPr>
    </w:p>
  </w:footnote>
  <w:footnote w:id="94">
    <w:p w14:paraId="0A6A1437" w14:textId="5E60C4D3" w:rsidR="00252F94" w:rsidRDefault="007B5E29">
      <w:pPr>
        <w:pStyle w:val="FootnoteText"/>
      </w:pPr>
      <w:r>
        <w:tab/>
      </w:r>
      <w:r w:rsidR="00252F94">
        <w:rPr>
          <w:rStyle w:val="FootnoteReference"/>
        </w:rPr>
        <w:footnoteRef/>
      </w:r>
      <w:r w:rsidR="00252F94">
        <w:t xml:space="preserve"> Unger, “RIZ</w:t>
      </w:r>
      <w:r w:rsidR="00D50EBE">
        <w:t>’PAH,” 1083</w:t>
      </w:r>
      <w:r w:rsidR="00AE2921">
        <w:t>.</w:t>
      </w:r>
    </w:p>
    <w:p w14:paraId="39B7B974" w14:textId="77777777" w:rsidR="00AE2921" w:rsidRDefault="00AE2921">
      <w:pPr>
        <w:pStyle w:val="FootnoteText"/>
      </w:pPr>
    </w:p>
  </w:footnote>
  <w:footnote w:id="95">
    <w:p w14:paraId="391DC90F" w14:textId="3B547DBB" w:rsidR="00D97DF6" w:rsidRDefault="007B5E29">
      <w:pPr>
        <w:pStyle w:val="FootnoteText"/>
      </w:pPr>
      <w:r>
        <w:tab/>
      </w:r>
      <w:r w:rsidR="00B6209A">
        <w:rPr>
          <w:rStyle w:val="FootnoteReference"/>
        </w:rPr>
        <w:footnoteRef/>
      </w:r>
      <w:r w:rsidR="00B6209A">
        <w:t xml:space="preserve"> </w:t>
      </w:r>
      <w:r w:rsidR="00735A0E">
        <w:t>Douglas</w:t>
      </w:r>
      <w:r w:rsidR="00617E65">
        <w:t xml:space="preserve">, </w:t>
      </w:r>
      <w:r w:rsidR="00735A0E">
        <w:t>“</w:t>
      </w:r>
      <w:r w:rsidR="00483805">
        <w:t>MEPHIBOSHETH”</w:t>
      </w:r>
      <w:r w:rsidR="00735A0E">
        <w:t xml:space="preserve">,” </w:t>
      </w:r>
      <w:r w:rsidR="00735A0E" w:rsidRPr="004934A9">
        <w:rPr>
          <w:i/>
          <w:iCs/>
        </w:rPr>
        <w:t>The New International Dictionary of the Bible: Pictorial Edition</w:t>
      </w:r>
      <w:r w:rsidR="00735A0E">
        <w:t>,</w:t>
      </w:r>
      <w:r w:rsidR="00483805">
        <w:t xml:space="preserve"> 398-399. </w:t>
      </w:r>
    </w:p>
  </w:footnote>
  <w:footnote w:id="96">
    <w:p w14:paraId="6FE256E7" w14:textId="6AD80660" w:rsidR="00AC68A3" w:rsidRPr="001002C5" w:rsidRDefault="007B5E29">
      <w:pPr>
        <w:pStyle w:val="FootnoteText"/>
      </w:pPr>
      <w:r>
        <w:tab/>
      </w:r>
      <w:r w:rsidR="00AC68A3">
        <w:rPr>
          <w:rStyle w:val="FootnoteReference"/>
        </w:rPr>
        <w:footnoteRef/>
      </w:r>
      <w:r w:rsidR="00AC68A3">
        <w:t xml:space="preserve"> Andrews and </w:t>
      </w:r>
      <w:r w:rsidR="00617E65">
        <w:t>Bergen</w:t>
      </w:r>
      <w:r w:rsidR="00AC68A3">
        <w:t xml:space="preserve">, </w:t>
      </w:r>
      <w:r w:rsidR="00AE2921" w:rsidRPr="00AE2921">
        <w:rPr>
          <w:i/>
          <w:iCs/>
        </w:rPr>
        <w:t>HOTC</w:t>
      </w:r>
      <w:r w:rsidR="00AE2921">
        <w:t xml:space="preserve">, </w:t>
      </w:r>
      <w:r w:rsidR="00AC68A3">
        <w:t xml:space="preserve">222. </w:t>
      </w:r>
      <w:r w:rsidR="002D718A">
        <w:t xml:space="preserve">For more information see the following two articles located in </w:t>
      </w:r>
      <w:r w:rsidR="002D718A">
        <w:rPr>
          <w:i/>
          <w:iCs/>
        </w:rPr>
        <w:t xml:space="preserve">The Oxford </w:t>
      </w:r>
      <w:r w:rsidR="001002C5">
        <w:rPr>
          <w:i/>
          <w:iCs/>
        </w:rPr>
        <w:t>Guide to People and Places of the Bible</w:t>
      </w:r>
      <w:r w:rsidR="001002C5">
        <w:t xml:space="preserve">: </w:t>
      </w:r>
      <w:r w:rsidR="00C5362B">
        <w:t>Jerome Murphy-O’Connor</w:t>
      </w:r>
      <w:r w:rsidR="00900AD3">
        <w:t>,</w:t>
      </w:r>
      <w:r w:rsidR="00C5362B">
        <w:t xml:space="preserve"> </w:t>
      </w:r>
      <w:r w:rsidR="001002C5">
        <w:t xml:space="preserve">“The History </w:t>
      </w:r>
      <w:r w:rsidR="00C5362B">
        <w:t>of</w:t>
      </w:r>
      <w:r w:rsidR="001002C5">
        <w:t xml:space="preserve"> Jerusalem</w:t>
      </w:r>
      <w:r w:rsidR="007136AD">
        <w:t>,</w:t>
      </w:r>
      <w:r w:rsidR="001002C5">
        <w:t>”</w:t>
      </w:r>
      <w:r w:rsidR="00C5362B">
        <w:t xml:space="preserve"> </w:t>
      </w:r>
      <w:r w:rsidR="00A17FA6">
        <w:t>127-30</w:t>
      </w:r>
      <w:r w:rsidR="00900AD3">
        <w:t xml:space="preserve">; </w:t>
      </w:r>
      <w:r w:rsidR="00C5362B">
        <w:t>and</w:t>
      </w:r>
      <w:r w:rsidR="00DB2878">
        <w:t xml:space="preserve"> Barb</w:t>
      </w:r>
      <w:r w:rsidR="007136AD">
        <w:t>ara Geller Nathanson</w:t>
      </w:r>
      <w:r w:rsidR="00900AD3">
        <w:t>,</w:t>
      </w:r>
      <w:r w:rsidR="00C5362B">
        <w:t xml:space="preserve"> </w:t>
      </w:r>
      <w:r w:rsidR="00DB2878">
        <w:t xml:space="preserve">“Jerusalem’s </w:t>
      </w:r>
      <w:r w:rsidR="007136AD">
        <w:t>Symbolism,</w:t>
      </w:r>
      <w:r w:rsidR="00DB2878">
        <w:t>”</w:t>
      </w:r>
      <w:r w:rsidR="007136AD">
        <w:t xml:space="preserve"> 130-136. </w:t>
      </w:r>
    </w:p>
    <w:p w14:paraId="4070C22A" w14:textId="77777777" w:rsidR="00AC68A3" w:rsidRDefault="00AC68A3">
      <w:pPr>
        <w:pStyle w:val="FootnoteText"/>
      </w:pPr>
    </w:p>
  </w:footnote>
  <w:footnote w:id="97">
    <w:p w14:paraId="5170F0E3" w14:textId="5DF3671E" w:rsidR="00D97DF6" w:rsidRDefault="007B5E29">
      <w:pPr>
        <w:pStyle w:val="FootnoteText"/>
      </w:pPr>
      <w:r>
        <w:tab/>
      </w:r>
      <w:r w:rsidR="00D97DF6">
        <w:rPr>
          <w:rStyle w:val="FootnoteReference"/>
        </w:rPr>
        <w:footnoteRef/>
      </w:r>
      <w:r w:rsidR="00D97DF6">
        <w:t xml:space="preserve"> </w:t>
      </w:r>
      <w:r w:rsidR="00AA6ED9">
        <w:t xml:space="preserve">“The Millo,” </w:t>
      </w:r>
      <w:r w:rsidR="00AA6ED9" w:rsidRPr="00AA6ED9">
        <w:rPr>
          <w:i/>
          <w:iCs/>
        </w:rPr>
        <w:t>ESV Study Bible,</w:t>
      </w:r>
      <w:r w:rsidR="00AA6ED9">
        <w:t xml:space="preserve"> 551. </w:t>
      </w:r>
    </w:p>
    <w:p w14:paraId="74B6FA97" w14:textId="77777777" w:rsidR="002D5270" w:rsidRDefault="002D5270">
      <w:pPr>
        <w:pStyle w:val="FootnoteText"/>
      </w:pPr>
    </w:p>
  </w:footnote>
  <w:footnote w:id="98">
    <w:p w14:paraId="018B15D5" w14:textId="27BC0FB6" w:rsidR="002D5270" w:rsidRDefault="007B5E29">
      <w:pPr>
        <w:pStyle w:val="FootnoteText"/>
      </w:pPr>
      <w:r>
        <w:tab/>
      </w:r>
      <w:r w:rsidR="002D5270">
        <w:rPr>
          <w:rStyle w:val="FootnoteReference"/>
        </w:rPr>
        <w:footnoteRef/>
      </w:r>
      <w:r w:rsidR="002D5270">
        <w:t xml:space="preserve"> “Hiran King of Tyre,” </w:t>
      </w:r>
      <w:r w:rsidR="002D5270" w:rsidRPr="00AA6ED9">
        <w:rPr>
          <w:i/>
          <w:iCs/>
        </w:rPr>
        <w:t>ESV Study Bible,</w:t>
      </w:r>
      <w:r w:rsidR="002D5270">
        <w:t xml:space="preserve"> 551. </w:t>
      </w:r>
      <w:r w:rsidR="005825F3">
        <w:t xml:space="preserve">For a more detailed account of Hiram’s life, see </w:t>
      </w:r>
      <w:r w:rsidR="007A3BDF">
        <w:t xml:space="preserve">R.W. Corney, “HIRAM,” </w:t>
      </w:r>
      <w:r w:rsidR="007A3BDF" w:rsidRPr="004934A9">
        <w:rPr>
          <w:i/>
          <w:iCs/>
        </w:rPr>
        <w:t>Interpreter’s Dictionary of the Bible</w:t>
      </w:r>
      <w:r w:rsidR="007A3BDF">
        <w:t xml:space="preserve">, </w:t>
      </w:r>
      <w:r w:rsidR="00AC25C3">
        <w:t>606-607.</w:t>
      </w:r>
    </w:p>
  </w:footnote>
  <w:footnote w:id="99">
    <w:p w14:paraId="7F48DB40" w14:textId="77777777" w:rsidR="001C74A5" w:rsidRDefault="007B5E29">
      <w:pPr>
        <w:pStyle w:val="FootnoteText"/>
      </w:pPr>
      <w:r>
        <w:tab/>
      </w:r>
    </w:p>
    <w:p w14:paraId="71F23C5A" w14:textId="29102E2C" w:rsidR="00536E11" w:rsidRDefault="001C74A5">
      <w:pPr>
        <w:pStyle w:val="FootnoteText"/>
      </w:pPr>
      <w:r>
        <w:tab/>
      </w:r>
      <w:r w:rsidR="00536E11">
        <w:rPr>
          <w:rStyle w:val="FootnoteReference"/>
        </w:rPr>
        <w:footnoteRef/>
      </w:r>
      <w:r w:rsidR="00536E11">
        <w:t xml:space="preserve"> Andrews and Bergen, </w:t>
      </w:r>
      <w:r w:rsidR="00900AD3" w:rsidRPr="00900AD3">
        <w:rPr>
          <w:i/>
          <w:iCs/>
        </w:rPr>
        <w:t>HOTC</w:t>
      </w:r>
      <w:r w:rsidR="00900AD3">
        <w:t xml:space="preserve">, </w:t>
      </w:r>
      <w:r w:rsidR="002348C1">
        <w:t>222.</w:t>
      </w:r>
    </w:p>
    <w:p w14:paraId="503747C1" w14:textId="77777777" w:rsidR="005C5A22" w:rsidRDefault="005C5A22">
      <w:pPr>
        <w:pStyle w:val="FootnoteText"/>
      </w:pPr>
    </w:p>
  </w:footnote>
  <w:footnote w:id="100">
    <w:p w14:paraId="127A2D50" w14:textId="4D1D7AB8" w:rsidR="005C5A22" w:rsidRDefault="007B5E29">
      <w:pPr>
        <w:pStyle w:val="FootnoteText"/>
      </w:pPr>
      <w:r>
        <w:tab/>
      </w:r>
      <w:r w:rsidR="005C5A22">
        <w:rPr>
          <w:rStyle w:val="FootnoteReference"/>
        </w:rPr>
        <w:footnoteRef/>
      </w:r>
      <w:r w:rsidR="005C5A22">
        <w:t xml:space="preserve"> </w:t>
      </w:r>
      <w:r w:rsidR="006F5A4B">
        <w:t xml:space="preserve">Unger, </w:t>
      </w:r>
      <w:r w:rsidR="00900AD3">
        <w:t>“</w:t>
      </w:r>
      <w:r w:rsidR="006F5A4B">
        <w:t>UZ’ZA</w:t>
      </w:r>
      <w:r w:rsidR="00861EB6">
        <w:t xml:space="preserve">H,” 1322. </w:t>
      </w:r>
    </w:p>
    <w:p w14:paraId="172377FE" w14:textId="77777777" w:rsidR="00EE074D" w:rsidRDefault="00EE074D">
      <w:pPr>
        <w:pStyle w:val="FootnoteText"/>
      </w:pPr>
    </w:p>
  </w:footnote>
  <w:footnote w:id="101">
    <w:p w14:paraId="6AE22EE2" w14:textId="7EF9B65D" w:rsidR="00EE074D" w:rsidRDefault="007B5E29">
      <w:pPr>
        <w:pStyle w:val="FootnoteText"/>
      </w:pPr>
      <w:r>
        <w:tab/>
      </w:r>
      <w:r w:rsidR="00EE074D">
        <w:rPr>
          <w:rStyle w:val="FootnoteReference"/>
        </w:rPr>
        <w:footnoteRef/>
      </w:r>
      <w:r w:rsidR="00EE074D">
        <w:t xml:space="preserve"> Bergen,</w:t>
      </w:r>
      <w:r w:rsidR="00900AD3">
        <w:t xml:space="preserve"> </w:t>
      </w:r>
      <w:r w:rsidR="00900AD3" w:rsidRPr="00900AD3">
        <w:rPr>
          <w:i/>
          <w:iCs/>
        </w:rPr>
        <w:t>NAC</w:t>
      </w:r>
      <w:r w:rsidR="00900AD3">
        <w:t>,</w:t>
      </w:r>
      <w:r w:rsidR="00EE074D">
        <w:t xml:space="preserve"> </w:t>
      </w:r>
      <w:r w:rsidR="00621A86">
        <w:t xml:space="preserve">330. </w:t>
      </w:r>
    </w:p>
    <w:p w14:paraId="0FE5060B" w14:textId="77777777" w:rsidR="00F057D4" w:rsidRDefault="00F057D4">
      <w:pPr>
        <w:pStyle w:val="FootnoteText"/>
      </w:pPr>
    </w:p>
  </w:footnote>
  <w:footnote w:id="102">
    <w:p w14:paraId="0811BBEE" w14:textId="48BB8D7D" w:rsidR="00F057D4" w:rsidRDefault="007B5E29">
      <w:pPr>
        <w:pStyle w:val="FootnoteText"/>
        <w:rPr>
          <w:i/>
          <w:iCs/>
        </w:rPr>
      </w:pPr>
      <w:r>
        <w:tab/>
      </w:r>
      <w:r w:rsidR="00F057D4">
        <w:rPr>
          <w:rStyle w:val="FootnoteReference"/>
        </w:rPr>
        <w:footnoteRef/>
      </w:r>
      <w:r>
        <w:t xml:space="preserve"> </w:t>
      </w:r>
      <w:r w:rsidR="00404E18">
        <w:t>W.</w:t>
      </w:r>
      <w:r w:rsidR="00F057D4">
        <w:t xml:space="preserve"> </w:t>
      </w:r>
      <w:r w:rsidR="003F6BEF">
        <w:t xml:space="preserve">Brueggemann, </w:t>
      </w:r>
      <w:r w:rsidR="003F6BEF">
        <w:rPr>
          <w:i/>
          <w:iCs/>
        </w:rPr>
        <w:t>First and Second Samuel</w:t>
      </w:r>
      <w:r w:rsidR="00691E3D">
        <w:t xml:space="preserve">, in </w:t>
      </w:r>
      <w:r w:rsidR="0027773D" w:rsidRPr="00B352F0">
        <w:rPr>
          <w:i/>
          <w:iCs/>
        </w:rPr>
        <w:t>Interpretation</w:t>
      </w:r>
      <w:r w:rsidR="00691E3D" w:rsidRPr="00B352F0">
        <w:rPr>
          <w:i/>
          <w:iCs/>
        </w:rPr>
        <w:t xml:space="preserve">: A Bible </w:t>
      </w:r>
      <w:r w:rsidR="0027773D" w:rsidRPr="00B352F0">
        <w:rPr>
          <w:i/>
          <w:iCs/>
        </w:rPr>
        <w:t>Commentary</w:t>
      </w:r>
      <w:r w:rsidR="00691E3D" w:rsidRPr="00B352F0">
        <w:rPr>
          <w:i/>
          <w:iCs/>
        </w:rPr>
        <w:t xml:space="preserve"> for </w:t>
      </w:r>
      <w:r w:rsidR="0027773D" w:rsidRPr="00B352F0">
        <w:rPr>
          <w:i/>
          <w:iCs/>
        </w:rPr>
        <w:t>T</w:t>
      </w:r>
      <w:r w:rsidR="00691E3D" w:rsidRPr="00B352F0">
        <w:rPr>
          <w:i/>
          <w:iCs/>
        </w:rPr>
        <w:t>eaching and Preaching</w:t>
      </w:r>
      <w:r w:rsidR="00691E3D">
        <w:t xml:space="preserve"> (</w:t>
      </w:r>
      <w:r w:rsidR="0027773D">
        <w:t>Louisville: John Knox, 1990</w:t>
      </w:r>
      <w:r w:rsidR="00245FE8">
        <w:t xml:space="preserve">), </w:t>
      </w:r>
      <w:r w:rsidR="00245FE8" w:rsidRPr="00B352F0">
        <w:t>259</w:t>
      </w:r>
      <w:r w:rsidR="003F6BEF" w:rsidRPr="00B352F0">
        <w:t>.</w:t>
      </w:r>
      <w:r w:rsidR="003F6BEF">
        <w:rPr>
          <w:i/>
          <w:iCs/>
        </w:rPr>
        <w:t xml:space="preserve"> </w:t>
      </w:r>
    </w:p>
    <w:p w14:paraId="7DEA5329" w14:textId="77777777" w:rsidR="00245FE8" w:rsidRPr="003F6BEF" w:rsidRDefault="00245FE8">
      <w:pPr>
        <w:pStyle w:val="FootnoteText"/>
        <w:rPr>
          <w:i/>
          <w:iCs/>
        </w:rPr>
      </w:pPr>
    </w:p>
  </w:footnote>
  <w:footnote w:id="103">
    <w:p w14:paraId="129F9195" w14:textId="5E2FC661" w:rsidR="00245FE8" w:rsidRDefault="007B5E29">
      <w:pPr>
        <w:pStyle w:val="FootnoteText"/>
      </w:pPr>
      <w:r>
        <w:tab/>
      </w:r>
      <w:r w:rsidR="00245FE8">
        <w:rPr>
          <w:rStyle w:val="FootnoteReference"/>
        </w:rPr>
        <w:footnoteRef/>
      </w:r>
      <w:r w:rsidR="00245FE8">
        <w:t xml:space="preserve"> Bergen, </w:t>
      </w:r>
      <w:r w:rsidR="004F5C01" w:rsidRPr="004F5C01">
        <w:rPr>
          <w:i/>
          <w:iCs/>
        </w:rPr>
        <w:t>NAC</w:t>
      </w:r>
      <w:r w:rsidR="004F5C01">
        <w:t xml:space="preserve">, </w:t>
      </w:r>
      <w:r w:rsidR="003305B0">
        <w:t xml:space="preserve">336. </w:t>
      </w:r>
    </w:p>
    <w:p w14:paraId="535EAEDB" w14:textId="77777777" w:rsidR="00B76B58" w:rsidRDefault="00B76B58">
      <w:pPr>
        <w:pStyle w:val="FootnoteText"/>
      </w:pPr>
    </w:p>
  </w:footnote>
  <w:footnote w:id="104">
    <w:p w14:paraId="71F79FDF" w14:textId="69DA6C80" w:rsidR="00B76B58" w:rsidRDefault="007B5E29">
      <w:pPr>
        <w:pStyle w:val="FootnoteText"/>
      </w:pPr>
      <w:r>
        <w:tab/>
      </w:r>
      <w:r w:rsidR="00B76B58">
        <w:rPr>
          <w:rStyle w:val="FootnoteReference"/>
        </w:rPr>
        <w:footnoteRef/>
      </w:r>
      <w:r w:rsidR="00B76B58">
        <w:t xml:space="preserve"> Bergen, </w:t>
      </w:r>
      <w:r w:rsidR="004F5C01" w:rsidRPr="004F5C01">
        <w:rPr>
          <w:i/>
          <w:iCs/>
        </w:rPr>
        <w:t>NAC</w:t>
      </w:r>
      <w:r w:rsidR="004F5C01">
        <w:t xml:space="preserve">, </w:t>
      </w:r>
      <w:r w:rsidR="00B76B58">
        <w:t xml:space="preserve">337-338. </w:t>
      </w:r>
      <w:r w:rsidR="00257F46">
        <w:t xml:space="preserve">Bergen offers a </w:t>
      </w:r>
      <w:r w:rsidR="00863843">
        <w:t>helpful</w:t>
      </w:r>
      <w:r w:rsidR="00257F46">
        <w:t xml:space="preserve"> examination of the Davidic Covenant</w:t>
      </w:r>
      <w:r w:rsidR="004F5C01">
        <w:t xml:space="preserve">, </w:t>
      </w:r>
      <w:r w:rsidR="00863843">
        <w:t xml:space="preserve">336-341. </w:t>
      </w:r>
    </w:p>
    <w:p w14:paraId="5CD56DA2" w14:textId="77777777" w:rsidR="00246455" w:rsidRDefault="00246455">
      <w:pPr>
        <w:pStyle w:val="FootnoteText"/>
      </w:pPr>
    </w:p>
  </w:footnote>
  <w:footnote w:id="105">
    <w:p w14:paraId="0FC30B8A" w14:textId="7B814E9A" w:rsidR="00246455" w:rsidRDefault="007B5E29">
      <w:pPr>
        <w:pStyle w:val="FootnoteText"/>
      </w:pPr>
      <w:r>
        <w:tab/>
      </w:r>
      <w:r w:rsidR="00246455">
        <w:rPr>
          <w:rStyle w:val="FootnoteReference"/>
        </w:rPr>
        <w:footnoteRef/>
      </w:r>
      <w:r w:rsidR="00246455">
        <w:t xml:space="preserve"> Timothy M. Willis, “NATHAN,” </w:t>
      </w:r>
      <w:r w:rsidR="000E2C42">
        <w:rPr>
          <w:i/>
          <w:iCs/>
        </w:rPr>
        <w:t>The Oxford Guide to People &amp; Places of the Bible</w:t>
      </w:r>
      <w:r w:rsidR="000E2C42">
        <w:t xml:space="preserve">, 212. </w:t>
      </w:r>
    </w:p>
    <w:p w14:paraId="08B6AEE8" w14:textId="77777777" w:rsidR="004F5C01" w:rsidRPr="000E2C42" w:rsidRDefault="004F5C01">
      <w:pPr>
        <w:pStyle w:val="FootnoteText"/>
      </w:pPr>
    </w:p>
  </w:footnote>
  <w:footnote w:id="106">
    <w:p w14:paraId="7F70CABE" w14:textId="2AB15D90" w:rsidR="00A72330" w:rsidRDefault="007B5E29">
      <w:pPr>
        <w:pStyle w:val="FootnoteText"/>
      </w:pPr>
      <w:r>
        <w:tab/>
      </w:r>
      <w:r w:rsidR="00A72330">
        <w:rPr>
          <w:rStyle w:val="FootnoteReference"/>
        </w:rPr>
        <w:footnoteRef/>
      </w:r>
      <w:r w:rsidR="00A72330">
        <w:t xml:space="preserve"> </w:t>
      </w:r>
      <w:r w:rsidR="00C17FA1">
        <w:t xml:space="preserve">“Catalog of David’s Military Activities,” </w:t>
      </w:r>
      <w:r w:rsidR="00B95606">
        <w:rPr>
          <w:i/>
          <w:iCs/>
        </w:rPr>
        <w:t>ESV Study Bible</w:t>
      </w:r>
      <w:r w:rsidR="00B95606">
        <w:t xml:space="preserve">, 555. </w:t>
      </w:r>
    </w:p>
    <w:p w14:paraId="20719238" w14:textId="77777777" w:rsidR="00601A52" w:rsidRPr="00B95606" w:rsidRDefault="00601A52">
      <w:pPr>
        <w:pStyle w:val="FootnoteText"/>
      </w:pPr>
    </w:p>
  </w:footnote>
  <w:footnote w:id="107">
    <w:p w14:paraId="53543B4B" w14:textId="715F1B47" w:rsidR="00601A52" w:rsidRDefault="007B5E29">
      <w:pPr>
        <w:pStyle w:val="FootnoteText"/>
      </w:pPr>
      <w:r>
        <w:tab/>
      </w:r>
      <w:r w:rsidR="00601A52">
        <w:rPr>
          <w:rStyle w:val="FootnoteReference"/>
        </w:rPr>
        <w:footnoteRef/>
      </w:r>
      <w:r w:rsidR="00601A52">
        <w:t xml:space="preserve"> Anderson, </w:t>
      </w:r>
      <w:r w:rsidR="00FA15CE" w:rsidRPr="00FA15CE">
        <w:rPr>
          <w:i/>
          <w:iCs/>
        </w:rPr>
        <w:t>WBC</w:t>
      </w:r>
      <w:r w:rsidR="00FA15CE">
        <w:t xml:space="preserve">, </w:t>
      </w:r>
      <w:r w:rsidR="00601A52">
        <w:t xml:space="preserve">131. </w:t>
      </w:r>
    </w:p>
    <w:p w14:paraId="621152BC" w14:textId="77777777" w:rsidR="000F0200" w:rsidRDefault="000F0200">
      <w:pPr>
        <w:pStyle w:val="FootnoteText"/>
      </w:pPr>
    </w:p>
  </w:footnote>
  <w:footnote w:id="108">
    <w:p w14:paraId="68185E89" w14:textId="68A654F2" w:rsidR="000F0200" w:rsidRDefault="007B5E29">
      <w:pPr>
        <w:pStyle w:val="FootnoteText"/>
      </w:pPr>
      <w:r>
        <w:tab/>
      </w:r>
      <w:r w:rsidR="000F0200">
        <w:rPr>
          <w:rStyle w:val="FootnoteReference"/>
        </w:rPr>
        <w:footnoteRef/>
      </w:r>
      <w:r w:rsidR="000F0200">
        <w:t xml:space="preserve"> Unger, “ME’THEG</w:t>
      </w:r>
      <w:r w:rsidR="003D1747">
        <w:t>-AM’MAH,” 841.</w:t>
      </w:r>
    </w:p>
    <w:p w14:paraId="3BB7453F" w14:textId="77777777" w:rsidR="009869A4" w:rsidRDefault="009869A4">
      <w:pPr>
        <w:pStyle w:val="FootnoteText"/>
      </w:pPr>
    </w:p>
  </w:footnote>
  <w:footnote w:id="109">
    <w:p w14:paraId="56CC05AB" w14:textId="5015C651" w:rsidR="009869A4" w:rsidRDefault="007B5E29">
      <w:pPr>
        <w:pStyle w:val="FootnoteText"/>
      </w:pPr>
      <w:r>
        <w:tab/>
      </w:r>
      <w:r w:rsidR="009869A4">
        <w:rPr>
          <w:rStyle w:val="FootnoteReference"/>
        </w:rPr>
        <w:footnoteRef/>
      </w:r>
      <w:r w:rsidR="009869A4">
        <w:t xml:space="preserve"> </w:t>
      </w:r>
      <w:r w:rsidR="00B15DCD">
        <w:t>Douglas, “</w:t>
      </w:r>
      <w:r w:rsidR="00D1087A">
        <w:t>SALT, VALLEY OF</w:t>
      </w:r>
      <w:r w:rsidR="00B15DCD">
        <w:t xml:space="preserve">”,” </w:t>
      </w:r>
      <w:r w:rsidR="00B15DCD" w:rsidRPr="004934A9">
        <w:rPr>
          <w:i/>
          <w:iCs/>
        </w:rPr>
        <w:t>The New International Dictionary of the Bible: Pictorial Edition</w:t>
      </w:r>
      <w:r w:rsidR="00D1087A">
        <w:t xml:space="preserve">, 886. </w:t>
      </w:r>
    </w:p>
    <w:p w14:paraId="4C3973F1" w14:textId="77777777" w:rsidR="00FA15CE" w:rsidRPr="00D1087A" w:rsidRDefault="00FA15CE">
      <w:pPr>
        <w:pStyle w:val="FootnoteText"/>
      </w:pPr>
    </w:p>
  </w:footnote>
  <w:footnote w:id="110">
    <w:p w14:paraId="0456699A" w14:textId="562EF932" w:rsidR="00993FD4" w:rsidRDefault="00FA62F0">
      <w:pPr>
        <w:pStyle w:val="FootnoteText"/>
      </w:pPr>
      <w:r>
        <w:tab/>
      </w:r>
      <w:r w:rsidR="00993FD4">
        <w:rPr>
          <w:rStyle w:val="FootnoteReference"/>
        </w:rPr>
        <w:footnoteRef/>
      </w:r>
      <w:r w:rsidR="00993FD4">
        <w:t xml:space="preserve"> </w:t>
      </w:r>
      <w:r w:rsidR="005D5DCB">
        <w:t xml:space="preserve">Andrews and Bergen, </w:t>
      </w:r>
      <w:r w:rsidR="00FA15CE" w:rsidRPr="00FA15CE">
        <w:rPr>
          <w:i/>
          <w:iCs/>
        </w:rPr>
        <w:t>HOTC</w:t>
      </w:r>
      <w:r w:rsidR="00FA15CE">
        <w:t xml:space="preserve">, </w:t>
      </w:r>
      <w:r w:rsidR="005D5DCB">
        <w:t>253.</w:t>
      </w:r>
    </w:p>
    <w:p w14:paraId="5FAEBAD6" w14:textId="77777777" w:rsidR="00D32831" w:rsidRDefault="00D32831">
      <w:pPr>
        <w:pStyle w:val="FootnoteText"/>
      </w:pPr>
    </w:p>
  </w:footnote>
  <w:footnote w:id="111">
    <w:p w14:paraId="3CBFF3A3" w14:textId="631AE2CE" w:rsidR="00313872" w:rsidRDefault="00FA62F0">
      <w:pPr>
        <w:pStyle w:val="FootnoteText"/>
      </w:pPr>
      <w:r>
        <w:tab/>
      </w:r>
      <w:r w:rsidR="00313872">
        <w:rPr>
          <w:rStyle w:val="FootnoteReference"/>
        </w:rPr>
        <w:footnoteRef/>
      </w:r>
      <w:r w:rsidR="00313872">
        <w:t xml:space="preserve"> </w:t>
      </w:r>
      <w:r w:rsidR="00B922FD">
        <w:t xml:space="preserve">For more information on </w:t>
      </w:r>
      <w:r w:rsidR="00AE73D2">
        <w:t>Israel’s war with Ammon, see the following article</w:t>
      </w:r>
      <w:r w:rsidR="00334DD5">
        <w:t>s</w:t>
      </w:r>
      <w:r w:rsidR="00AE73D2">
        <w:t xml:space="preserve"> in the </w:t>
      </w:r>
      <w:r w:rsidR="00AE73D2" w:rsidRPr="00334DD5">
        <w:rPr>
          <w:i/>
          <w:iCs/>
        </w:rPr>
        <w:t>ESV Study Bible</w:t>
      </w:r>
      <w:r w:rsidR="00AE73D2">
        <w:t>: “</w:t>
      </w:r>
      <w:r w:rsidR="003F7CA4">
        <w:t xml:space="preserve">Israel-Ammon War, 557; “Beginning of Israel-Ammon War,” 557; </w:t>
      </w:r>
      <w:r w:rsidR="00334DD5">
        <w:t xml:space="preserve">“End of Israel-Ammon War,” 562. </w:t>
      </w:r>
    </w:p>
    <w:p w14:paraId="3E6E742C" w14:textId="77777777" w:rsidR="003B3549" w:rsidRDefault="003B3549">
      <w:pPr>
        <w:pStyle w:val="FootnoteText"/>
      </w:pPr>
    </w:p>
  </w:footnote>
  <w:footnote w:id="112">
    <w:p w14:paraId="22FDD1F2" w14:textId="197BEB67" w:rsidR="003B3549" w:rsidRDefault="00FA62F0">
      <w:pPr>
        <w:pStyle w:val="FootnoteText"/>
      </w:pPr>
      <w:r>
        <w:tab/>
      </w:r>
      <w:r w:rsidR="003B3549">
        <w:rPr>
          <w:rStyle w:val="FootnoteReference"/>
        </w:rPr>
        <w:footnoteRef/>
      </w:r>
      <w:r w:rsidR="003B3549">
        <w:t xml:space="preserve"> For more information on the Syrian kingdoms discussed in </w:t>
      </w:r>
      <w:r w:rsidR="004F62EC">
        <w:t xml:space="preserve">2 Sam. 10:6, see Anderson, </w:t>
      </w:r>
      <w:r w:rsidR="00B10098" w:rsidRPr="00B10098">
        <w:rPr>
          <w:i/>
          <w:iCs/>
        </w:rPr>
        <w:t>WBC</w:t>
      </w:r>
      <w:r w:rsidR="00B10098">
        <w:t xml:space="preserve">, </w:t>
      </w:r>
      <w:r w:rsidR="004F62EC">
        <w:t>147.</w:t>
      </w:r>
    </w:p>
    <w:p w14:paraId="1A35AC83" w14:textId="77777777" w:rsidR="00871344" w:rsidRDefault="00871344">
      <w:pPr>
        <w:pStyle w:val="FootnoteText"/>
      </w:pPr>
    </w:p>
  </w:footnote>
  <w:footnote w:id="113">
    <w:p w14:paraId="4D2A1BEC" w14:textId="42029DD8" w:rsidR="00871344" w:rsidRDefault="00FA62F0">
      <w:pPr>
        <w:pStyle w:val="FootnoteText"/>
      </w:pPr>
      <w:r>
        <w:tab/>
      </w:r>
      <w:r w:rsidR="00871344">
        <w:rPr>
          <w:rStyle w:val="FootnoteReference"/>
        </w:rPr>
        <w:footnoteRef/>
      </w:r>
      <w:r w:rsidR="00871344">
        <w:t xml:space="preserve"> </w:t>
      </w:r>
      <w:r w:rsidR="00BF7CF6">
        <w:t>“</w:t>
      </w:r>
      <w:r w:rsidR="002573B4">
        <w:t>11:1”</w:t>
      </w:r>
      <w:r w:rsidR="00BF7CF6">
        <w:t xml:space="preserve">, </w:t>
      </w:r>
      <w:r w:rsidR="00BF7CF6" w:rsidRPr="00334DD5">
        <w:rPr>
          <w:i/>
          <w:iCs/>
        </w:rPr>
        <w:t>ESV Study Bible</w:t>
      </w:r>
      <w:r w:rsidR="009F3938">
        <w:t xml:space="preserve">, 558. </w:t>
      </w:r>
    </w:p>
    <w:p w14:paraId="3D4F8280" w14:textId="77777777" w:rsidR="00044BF8" w:rsidRPr="009F3938" w:rsidRDefault="00044BF8">
      <w:pPr>
        <w:pStyle w:val="FootnoteText"/>
      </w:pPr>
    </w:p>
  </w:footnote>
  <w:footnote w:id="114">
    <w:p w14:paraId="5617835F" w14:textId="796E2F9F" w:rsidR="00044BF8" w:rsidRDefault="00FA62F0">
      <w:pPr>
        <w:pStyle w:val="FootnoteText"/>
      </w:pPr>
      <w:r>
        <w:tab/>
      </w:r>
      <w:r w:rsidR="00044BF8">
        <w:rPr>
          <w:rStyle w:val="FootnoteReference"/>
        </w:rPr>
        <w:footnoteRef/>
      </w:r>
      <w:r w:rsidR="00044BF8">
        <w:t xml:space="preserve"> Bergen, </w:t>
      </w:r>
      <w:r w:rsidR="00185E56" w:rsidRPr="00185E56">
        <w:rPr>
          <w:i/>
          <w:iCs/>
        </w:rPr>
        <w:t>NAC</w:t>
      </w:r>
      <w:r w:rsidR="00185E56">
        <w:t xml:space="preserve">, </w:t>
      </w:r>
      <w:r w:rsidR="00044BF8">
        <w:t xml:space="preserve">364. </w:t>
      </w:r>
    </w:p>
    <w:p w14:paraId="6F6027AB" w14:textId="77777777" w:rsidR="00BB4103" w:rsidRDefault="00BB4103">
      <w:pPr>
        <w:pStyle w:val="FootnoteText"/>
      </w:pPr>
    </w:p>
  </w:footnote>
  <w:footnote w:id="115">
    <w:p w14:paraId="2E84F84A" w14:textId="1325E3E5" w:rsidR="00443147" w:rsidRDefault="00FA62F0">
      <w:pPr>
        <w:pStyle w:val="FootnoteText"/>
      </w:pPr>
      <w:r>
        <w:tab/>
      </w:r>
      <w:r w:rsidR="00443147">
        <w:rPr>
          <w:rStyle w:val="FootnoteReference"/>
        </w:rPr>
        <w:footnoteRef/>
      </w:r>
      <w:r w:rsidR="00443147">
        <w:t xml:space="preserve"> Bergen, </w:t>
      </w:r>
      <w:r w:rsidR="00185E56" w:rsidRPr="00185E56">
        <w:rPr>
          <w:i/>
          <w:iCs/>
        </w:rPr>
        <w:t>NAC</w:t>
      </w:r>
      <w:r w:rsidR="00185E56">
        <w:t xml:space="preserve">, </w:t>
      </w:r>
      <w:r w:rsidR="00443147">
        <w:t xml:space="preserve">364. </w:t>
      </w:r>
    </w:p>
    <w:p w14:paraId="734059AD" w14:textId="77777777" w:rsidR="00DE7CF7" w:rsidRDefault="00DE7CF7">
      <w:pPr>
        <w:pStyle w:val="FootnoteText"/>
      </w:pPr>
    </w:p>
  </w:footnote>
  <w:footnote w:id="116">
    <w:p w14:paraId="1D54CF48" w14:textId="2FA488DB" w:rsidR="000241F5" w:rsidRDefault="00FA62F0">
      <w:pPr>
        <w:pStyle w:val="FootnoteText"/>
      </w:pPr>
      <w:r>
        <w:tab/>
      </w:r>
      <w:r w:rsidR="000241F5">
        <w:rPr>
          <w:rStyle w:val="FootnoteReference"/>
        </w:rPr>
        <w:footnoteRef/>
      </w:r>
      <w:r w:rsidR="000241F5">
        <w:t xml:space="preserve"> </w:t>
      </w:r>
      <w:r w:rsidR="00DE7CF7">
        <w:t xml:space="preserve">“Woman Bathing,” </w:t>
      </w:r>
      <w:r w:rsidR="00DE7CF7" w:rsidRPr="00DE7CF7">
        <w:rPr>
          <w:i/>
          <w:iCs/>
        </w:rPr>
        <w:t>ESV Study Bible</w:t>
      </w:r>
      <w:r w:rsidR="00DE7CF7">
        <w:t xml:space="preserve">, 558. </w:t>
      </w:r>
    </w:p>
    <w:p w14:paraId="3EF3A739" w14:textId="77777777" w:rsidR="00DE7CF7" w:rsidRDefault="00DE7CF7">
      <w:pPr>
        <w:pStyle w:val="FootnoteText"/>
      </w:pPr>
    </w:p>
  </w:footnote>
  <w:footnote w:id="117">
    <w:p w14:paraId="3302B937" w14:textId="56230A08" w:rsidR="006A7093" w:rsidRDefault="00FA62F0">
      <w:pPr>
        <w:pStyle w:val="FootnoteText"/>
      </w:pPr>
      <w:r>
        <w:tab/>
      </w:r>
      <w:r w:rsidR="006A7093">
        <w:rPr>
          <w:rStyle w:val="FootnoteReference"/>
        </w:rPr>
        <w:footnoteRef/>
      </w:r>
      <w:r w:rsidR="006A7093">
        <w:t xml:space="preserve"> </w:t>
      </w:r>
      <w:r w:rsidR="00DE7CF7">
        <w:t>Andrews,</w:t>
      </w:r>
      <w:r w:rsidR="00185E56">
        <w:t xml:space="preserve"> </w:t>
      </w:r>
      <w:r w:rsidR="00185E56" w:rsidRPr="00185E56">
        <w:rPr>
          <w:i/>
          <w:iCs/>
        </w:rPr>
        <w:t>WBC</w:t>
      </w:r>
      <w:r w:rsidR="00185E56">
        <w:t xml:space="preserve">, </w:t>
      </w:r>
      <w:r w:rsidR="0021705D">
        <w:t xml:space="preserve">153. </w:t>
      </w:r>
    </w:p>
    <w:p w14:paraId="1935431A" w14:textId="77777777" w:rsidR="00A839A2" w:rsidRDefault="00A839A2">
      <w:pPr>
        <w:pStyle w:val="FootnoteText"/>
      </w:pPr>
    </w:p>
  </w:footnote>
  <w:footnote w:id="118">
    <w:p w14:paraId="13723A56" w14:textId="48F5E038" w:rsidR="00C158CE" w:rsidRDefault="00FA62F0">
      <w:pPr>
        <w:pStyle w:val="FootnoteText"/>
      </w:pPr>
      <w:r>
        <w:tab/>
      </w:r>
      <w:r w:rsidR="00C158CE">
        <w:rPr>
          <w:rStyle w:val="FootnoteReference"/>
        </w:rPr>
        <w:footnoteRef/>
      </w:r>
      <w:r w:rsidR="00C158CE">
        <w:t xml:space="preserve"> </w:t>
      </w:r>
      <w:r w:rsidR="00A4341B">
        <w:t>C.F. Keil</w:t>
      </w:r>
      <w:r w:rsidR="009D4029">
        <w:t xml:space="preserve"> and F. Delitzch, </w:t>
      </w:r>
      <w:r w:rsidR="00F16E9A">
        <w:rPr>
          <w:i/>
          <w:iCs/>
        </w:rPr>
        <w:t>Biblical</w:t>
      </w:r>
      <w:r w:rsidR="009D4029">
        <w:rPr>
          <w:i/>
          <w:iCs/>
        </w:rPr>
        <w:t xml:space="preserve"> Commentary on the Books of Samuel</w:t>
      </w:r>
      <w:r w:rsidR="009D4029">
        <w:t xml:space="preserve"> </w:t>
      </w:r>
      <w:r w:rsidR="00F16E9A">
        <w:t xml:space="preserve">(Grand Rapids: Eerdmans, 1956), 383. </w:t>
      </w:r>
    </w:p>
    <w:p w14:paraId="5423BAF0" w14:textId="77777777" w:rsidR="00F16E9A" w:rsidRPr="009D4029" w:rsidRDefault="00F16E9A">
      <w:pPr>
        <w:pStyle w:val="FootnoteText"/>
      </w:pPr>
    </w:p>
  </w:footnote>
  <w:footnote w:id="119">
    <w:p w14:paraId="18F05BB0" w14:textId="7B6961A0" w:rsidR="00A839A2" w:rsidRDefault="00FA62F0">
      <w:pPr>
        <w:pStyle w:val="FootnoteText"/>
      </w:pPr>
      <w:r>
        <w:tab/>
      </w:r>
      <w:r w:rsidR="00A839A2">
        <w:rPr>
          <w:rStyle w:val="FootnoteReference"/>
        </w:rPr>
        <w:footnoteRef/>
      </w:r>
      <w:r w:rsidR="00A839A2">
        <w:t xml:space="preserve"> </w:t>
      </w:r>
      <w:r w:rsidR="00F16E9A">
        <w:t xml:space="preserve">Bergen, </w:t>
      </w:r>
      <w:r w:rsidR="00030CE3" w:rsidRPr="00030CE3">
        <w:rPr>
          <w:i/>
          <w:iCs/>
        </w:rPr>
        <w:t>NAC</w:t>
      </w:r>
      <w:r w:rsidR="00030CE3" w:rsidRPr="00030CE3">
        <w:t>,</w:t>
      </w:r>
      <w:r w:rsidR="00030CE3">
        <w:t xml:space="preserve"> </w:t>
      </w:r>
      <w:r w:rsidR="003F5BB1">
        <w:t xml:space="preserve">364. </w:t>
      </w:r>
    </w:p>
    <w:p w14:paraId="23C377B9" w14:textId="77777777" w:rsidR="00DC771C" w:rsidRDefault="00DC771C">
      <w:pPr>
        <w:pStyle w:val="FootnoteText"/>
      </w:pPr>
    </w:p>
  </w:footnote>
  <w:footnote w:id="120">
    <w:p w14:paraId="231E33F6" w14:textId="49E5EF17" w:rsidR="00DC771C" w:rsidRDefault="00FA62F0">
      <w:pPr>
        <w:pStyle w:val="FootnoteText"/>
      </w:pPr>
      <w:r>
        <w:tab/>
      </w:r>
      <w:r w:rsidR="00DC771C">
        <w:rPr>
          <w:rStyle w:val="FootnoteReference"/>
        </w:rPr>
        <w:footnoteRef/>
      </w:r>
      <w:r w:rsidR="00DC771C">
        <w:t xml:space="preserve"> Arnold, </w:t>
      </w:r>
      <w:r w:rsidR="00030CE3" w:rsidRPr="00030CE3">
        <w:rPr>
          <w:i/>
          <w:iCs/>
        </w:rPr>
        <w:t>TNAC</w:t>
      </w:r>
      <w:r w:rsidR="00030CE3">
        <w:t xml:space="preserve">, </w:t>
      </w:r>
      <w:r w:rsidR="00DC771C">
        <w:t xml:space="preserve">526. For a </w:t>
      </w:r>
      <w:r w:rsidR="00E838DE">
        <w:t xml:space="preserve">helpful overview of the events related to David and Bathsheba, see Arnold, </w:t>
      </w:r>
      <w:r w:rsidR="007621F7" w:rsidRPr="007621F7">
        <w:rPr>
          <w:i/>
          <w:iCs/>
        </w:rPr>
        <w:t>TNAC</w:t>
      </w:r>
      <w:r w:rsidR="007621F7">
        <w:t xml:space="preserve">, </w:t>
      </w:r>
      <w:r w:rsidR="00AF008C">
        <w:t xml:space="preserve">526-538. </w:t>
      </w:r>
    </w:p>
    <w:p w14:paraId="4A19A7C4" w14:textId="77777777" w:rsidR="00BB4BC8" w:rsidRDefault="00BB4BC8">
      <w:pPr>
        <w:pStyle w:val="FootnoteText"/>
      </w:pPr>
    </w:p>
  </w:footnote>
  <w:footnote w:id="121">
    <w:p w14:paraId="0CD231DB" w14:textId="02FC05ED" w:rsidR="00BB4BC8" w:rsidRDefault="00FA62F0">
      <w:pPr>
        <w:pStyle w:val="FootnoteText"/>
      </w:pPr>
      <w:r>
        <w:tab/>
      </w:r>
      <w:r w:rsidR="00BB4BC8">
        <w:rPr>
          <w:rStyle w:val="FootnoteReference"/>
        </w:rPr>
        <w:footnoteRef/>
      </w:r>
      <w:r w:rsidR="00BB4BC8">
        <w:t xml:space="preserve"> </w:t>
      </w:r>
      <w:r w:rsidR="00734F40">
        <w:t xml:space="preserve">Ronald E. Murphy and James M. </w:t>
      </w:r>
      <w:r w:rsidR="00AB07E4">
        <w:t xml:space="preserve">Reese, “Solom,” </w:t>
      </w:r>
      <w:r w:rsidR="00AB07E4">
        <w:rPr>
          <w:i/>
          <w:iCs/>
        </w:rPr>
        <w:t>The Oxford Guide to People &amp; Places of the Bible</w:t>
      </w:r>
      <w:r w:rsidR="00AB07E4">
        <w:t xml:space="preserve">, </w:t>
      </w:r>
      <w:r w:rsidR="0025026A">
        <w:t>294-297.</w:t>
      </w:r>
    </w:p>
    <w:p w14:paraId="3B63A523" w14:textId="77777777" w:rsidR="009735DF" w:rsidRDefault="009735DF">
      <w:pPr>
        <w:pStyle w:val="FootnoteText"/>
      </w:pPr>
    </w:p>
  </w:footnote>
  <w:footnote w:id="122">
    <w:p w14:paraId="70FA6B56" w14:textId="197C0701" w:rsidR="009735DF" w:rsidRDefault="00FA62F0">
      <w:pPr>
        <w:pStyle w:val="FootnoteText"/>
      </w:pPr>
      <w:r>
        <w:tab/>
      </w:r>
      <w:r w:rsidR="009735DF">
        <w:rPr>
          <w:rStyle w:val="FootnoteReference"/>
        </w:rPr>
        <w:footnoteRef/>
      </w:r>
      <w:r w:rsidR="009735DF">
        <w:t xml:space="preserve"> Andrews, </w:t>
      </w:r>
      <w:r w:rsidR="00FF5428" w:rsidRPr="00FF5428">
        <w:rPr>
          <w:i/>
          <w:iCs/>
        </w:rPr>
        <w:t>WBC</w:t>
      </w:r>
      <w:r w:rsidR="00FF5428">
        <w:t xml:space="preserve">, </w:t>
      </w:r>
      <w:r w:rsidR="00601131">
        <w:t xml:space="preserve">165. </w:t>
      </w:r>
    </w:p>
    <w:p w14:paraId="772C1804" w14:textId="77777777" w:rsidR="002A33EA" w:rsidRDefault="002A33EA">
      <w:pPr>
        <w:pStyle w:val="FootnoteText"/>
      </w:pPr>
    </w:p>
  </w:footnote>
  <w:footnote w:id="123">
    <w:p w14:paraId="6CA81257" w14:textId="462563CB" w:rsidR="002A33EA" w:rsidRDefault="00FA62F0">
      <w:pPr>
        <w:pStyle w:val="FootnoteText"/>
      </w:pPr>
      <w:r>
        <w:tab/>
      </w:r>
      <w:r w:rsidR="002A33EA">
        <w:rPr>
          <w:rStyle w:val="FootnoteReference"/>
        </w:rPr>
        <w:footnoteRef/>
      </w:r>
      <w:r w:rsidR="002A33EA">
        <w:t xml:space="preserve"> Andrews, </w:t>
      </w:r>
      <w:r w:rsidR="00FF5428" w:rsidRPr="00FF5428">
        <w:rPr>
          <w:i/>
          <w:iCs/>
        </w:rPr>
        <w:t>WBC,</w:t>
      </w:r>
      <w:r w:rsidR="00FF5428">
        <w:t xml:space="preserve"> </w:t>
      </w:r>
      <w:r w:rsidR="002A33EA">
        <w:t xml:space="preserve">166. </w:t>
      </w:r>
    </w:p>
    <w:p w14:paraId="0421E5F5" w14:textId="77777777" w:rsidR="00BB4103" w:rsidRDefault="00BB4103">
      <w:pPr>
        <w:pStyle w:val="FootnoteText"/>
      </w:pPr>
    </w:p>
  </w:footnote>
  <w:footnote w:id="124">
    <w:p w14:paraId="50E7809D" w14:textId="0603AAC5" w:rsidR="006A2874" w:rsidRDefault="00FA62F0">
      <w:pPr>
        <w:pStyle w:val="FootnoteText"/>
      </w:pPr>
      <w:r>
        <w:tab/>
      </w:r>
      <w:r w:rsidR="006A2874">
        <w:rPr>
          <w:rStyle w:val="FootnoteReference"/>
        </w:rPr>
        <w:footnoteRef/>
      </w:r>
      <w:r w:rsidR="006A2874">
        <w:t xml:space="preserve"> Interestingly, Saul had a wife with the same name, A</w:t>
      </w:r>
      <w:r w:rsidR="00E9120B">
        <w:t>hinoam</w:t>
      </w:r>
      <w:r w:rsidR="004D2A25">
        <w:t>.</w:t>
      </w:r>
      <w:r w:rsidR="00E9120B">
        <w:t xml:space="preserve"> (</w:t>
      </w:r>
      <w:r w:rsidR="001055D8">
        <w:t>1 Sam</w:t>
      </w:r>
      <w:r w:rsidR="00FF5428">
        <w:t xml:space="preserve">. </w:t>
      </w:r>
      <w:r w:rsidR="00EA77A2">
        <w:t>14:50)</w:t>
      </w:r>
    </w:p>
    <w:p w14:paraId="349E568F" w14:textId="77777777" w:rsidR="00D51BB6" w:rsidRDefault="00D51BB6">
      <w:pPr>
        <w:pStyle w:val="FootnoteText"/>
      </w:pPr>
    </w:p>
  </w:footnote>
  <w:footnote w:id="125">
    <w:p w14:paraId="0B56075B" w14:textId="6FA52282" w:rsidR="00D51BB6" w:rsidRDefault="00FA62F0">
      <w:pPr>
        <w:pStyle w:val="FootnoteText"/>
      </w:pPr>
      <w:r>
        <w:tab/>
      </w:r>
      <w:r w:rsidR="00D51BB6">
        <w:rPr>
          <w:rStyle w:val="FootnoteReference"/>
        </w:rPr>
        <w:footnoteRef/>
      </w:r>
      <w:r w:rsidR="00D51BB6">
        <w:t xml:space="preserve"> Unger, “AM’NON,” </w:t>
      </w:r>
      <w:r w:rsidR="00693B44">
        <w:t>54. For a more detailed account of the incident, see Unger, “</w:t>
      </w:r>
      <w:r w:rsidR="004552FD">
        <w:t xml:space="preserve">TA’MAR,” 1251. </w:t>
      </w:r>
    </w:p>
    <w:p w14:paraId="0045027C" w14:textId="77777777" w:rsidR="00FF3913" w:rsidRDefault="00FF3913">
      <w:pPr>
        <w:pStyle w:val="FootnoteText"/>
      </w:pPr>
    </w:p>
  </w:footnote>
  <w:footnote w:id="126">
    <w:p w14:paraId="3209F9F8" w14:textId="2D29C565" w:rsidR="00FF3913" w:rsidRDefault="00FA62F0">
      <w:pPr>
        <w:pStyle w:val="FootnoteText"/>
      </w:pPr>
      <w:r>
        <w:tab/>
      </w:r>
      <w:r w:rsidR="00FF3913">
        <w:rPr>
          <w:rStyle w:val="FootnoteReference"/>
        </w:rPr>
        <w:footnoteRef/>
      </w:r>
      <w:r w:rsidR="00FF3913">
        <w:t xml:space="preserve"> Timothy M. Willis, </w:t>
      </w:r>
      <w:r w:rsidR="002A51CD">
        <w:t>“</w:t>
      </w:r>
      <w:r w:rsidR="00295BEF">
        <w:t>A</w:t>
      </w:r>
      <w:r w:rsidR="00FF3913">
        <w:t>BSALOM</w:t>
      </w:r>
      <w:r w:rsidR="002A51CD">
        <w:t>,”</w:t>
      </w:r>
      <w:r w:rsidR="00295BEF">
        <w:t xml:space="preserve"> </w:t>
      </w:r>
      <w:r w:rsidR="00295BEF">
        <w:rPr>
          <w:i/>
          <w:iCs/>
        </w:rPr>
        <w:t>The Oxford Guide to People &amp; Places of the Bible</w:t>
      </w:r>
      <w:r w:rsidR="00295BEF">
        <w:t xml:space="preserve">, 3. </w:t>
      </w:r>
    </w:p>
    <w:p w14:paraId="4AF19243" w14:textId="77777777" w:rsidR="007A7E19" w:rsidRDefault="007A7E19">
      <w:pPr>
        <w:pStyle w:val="FootnoteText"/>
      </w:pPr>
    </w:p>
  </w:footnote>
  <w:footnote w:id="127">
    <w:p w14:paraId="2640EB29" w14:textId="36868A62" w:rsidR="007A7E19" w:rsidRDefault="00FA62F0">
      <w:pPr>
        <w:pStyle w:val="FootnoteText"/>
      </w:pPr>
      <w:r>
        <w:tab/>
      </w:r>
      <w:r w:rsidR="007A7E19">
        <w:rPr>
          <w:rStyle w:val="FootnoteReference"/>
        </w:rPr>
        <w:footnoteRef/>
      </w:r>
      <w:r w:rsidR="007A7E19">
        <w:t xml:space="preserve"> Andrews and Begen, </w:t>
      </w:r>
      <w:r w:rsidR="00D71461" w:rsidRPr="00D71461">
        <w:rPr>
          <w:i/>
          <w:iCs/>
        </w:rPr>
        <w:t>HOTC</w:t>
      </w:r>
      <w:r w:rsidR="00D71461">
        <w:t xml:space="preserve">, </w:t>
      </w:r>
      <w:r w:rsidR="00FC4E16">
        <w:t xml:space="preserve">287. </w:t>
      </w:r>
    </w:p>
    <w:p w14:paraId="451721AA" w14:textId="77777777" w:rsidR="004B7EEC" w:rsidRDefault="004B7EEC">
      <w:pPr>
        <w:pStyle w:val="FootnoteText"/>
      </w:pPr>
    </w:p>
  </w:footnote>
  <w:footnote w:id="128">
    <w:p w14:paraId="6A1C2867" w14:textId="0185E1D9" w:rsidR="006D24B8" w:rsidRDefault="00FA62F0" w:rsidP="006D24B8">
      <w:pPr>
        <w:pStyle w:val="FootnoteText"/>
      </w:pPr>
      <w:r>
        <w:tab/>
      </w:r>
      <w:r w:rsidR="006D24B8">
        <w:rPr>
          <w:rStyle w:val="FootnoteReference"/>
        </w:rPr>
        <w:footnoteRef/>
      </w:r>
      <w:r w:rsidR="006D24B8">
        <w:t xml:space="preserve"> McCarter, </w:t>
      </w:r>
      <w:r w:rsidR="005A24A7" w:rsidRPr="005A24A7">
        <w:rPr>
          <w:i/>
          <w:iCs/>
        </w:rPr>
        <w:t>TAB</w:t>
      </w:r>
      <w:r w:rsidR="005A24A7">
        <w:t xml:space="preserve">, </w:t>
      </w:r>
      <w:r w:rsidR="006D24B8">
        <w:t xml:space="preserve">335. </w:t>
      </w:r>
    </w:p>
    <w:p w14:paraId="5546EC15" w14:textId="77777777" w:rsidR="006D24B8" w:rsidRDefault="006D24B8" w:rsidP="006D24B8">
      <w:pPr>
        <w:pStyle w:val="FootnoteText"/>
      </w:pPr>
    </w:p>
  </w:footnote>
  <w:footnote w:id="129">
    <w:p w14:paraId="33A2A88D" w14:textId="712B6857" w:rsidR="006D24B8" w:rsidRDefault="00FA62F0" w:rsidP="006D24B8">
      <w:pPr>
        <w:pStyle w:val="FootnoteText"/>
      </w:pPr>
      <w:r>
        <w:tab/>
      </w:r>
      <w:r w:rsidR="006D24B8">
        <w:rPr>
          <w:rStyle w:val="FootnoteReference"/>
        </w:rPr>
        <w:footnoteRef/>
      </w:r>
      <w:r w:rsidR="006D24B8">
        <w:t xml:space="preserve"> Anderson, </w:t>
      </w:r>
      <w:r w:rsidR="00C3449A" w:rsidRPr="00C3449A">
        <w:rPr>
          <w:i/>
          <w:iCs/>
        </w:rPr>
        <w:t>WBC</w:t>
      </w:r>
      <w:r w:rsidR="005A24A7">
        <w:t xml:space="preserve">, </w:t>
      </w:r>
      <w:r w:rsidR="006D24B8">
        <w:t xml:space="preserve">187. </w:t>
      </w:r>
    </w:p>
  </w:footnote>
  <w:footnote w:id="130">
    <w:p w14:paraId="18FB44A3" w14:textId="1786DB18" w:rsidR="0029679F" w:rsidRDefault="00FA62F0">
      <w:pPr>
        <w:pStyle w:val="FootnoteText"/>
      </w:pPr>
      <w:r>
        <w:tab/>
      </w:r>
      <w:r w:rsidR="0029679F">
        <w:rPr>
          <w:rStyle w:val="FootnoteReference"/>
        </w:rPr>
        <w:footnoteRef/>
      </w:r>
      <w:r w:rsidR="0029679F">
        <w:t xml:space="preserve"> Bergen, </w:t>
      </w:r>
      <w:r w:rsidR="00C3449A" w:rsidRPr="00C3449A">
        <w:rPr>
          <w:i/>
          <w:iCs/>
        </w:rPr>
        <w:t>NAC</w:t>
      </w:r>
      <w:r w:rsidR="00C3449A">
        <w:t xml:space="preserve">, </w:t>
      </w:r>
      <w:r w:rsidR="0029679F">
        <w:t xml:space="preserve">389. </w:t>
      </w:r>
    </w:p>
    <w:p w14:paraId="07C9ADFC" w14:textId="77777777" w:rsidR="00933C79" w:rsidRDefault="00933C79">
      <w:pPr>
        <w:pStyle w:val="FootnoteText"/>
      </w:pPr>
    </w:p>
  </w:footnote>
  <w:footnote w:id="131">
    <w:p w14:paraId="571FC961" w14:textId="2B8FDB62" w:rsidR="00933C79" w:rsidRDefault="00FA62F0">
      <w:pPr>
        <w:pStyle w:val="FootnoteText"/>
      </w:pPr>
      <w:r>
        <w:tab/>
      </w:r>
      <w:r w:rsidR="00933C79">
        <w:rPr>
          <w:rStyle w:val="FootnoteReference"/>
        </w:rPr>
        <w:footnoteRef/>
      </w:r>
      <w:r w:rsidR="00933C79">
        <w:t xml:space="preserve"> Anderson and Bergen, </w:t>
      </w:r>
      <w:r w:rsidR="00C3449A" w:rsidRPr="00C3449A">
        <w:rPr>
          <w:i/>
          <w:iCs/>
        </w:rPr>
        <w:t>HOTC</w:t>
      </w:r>
      <w:r w:rsidR="00C3449A">
        <w:t xml:space="preserve">, </w:t>
      </w:r>
      <w:r w:rsidR="00933C79">
        <w:t xml:space="preserve">304. </w:t>
      </w:r>
    </w:p>
    <w:p w14:paraId="2FE73AE9" w14:textId="77777777" w:rsidR="006E2009" w:rsidRDefault="006E2009">
      <w:pPr>
        <w:pStyle w:val="FootnoteText"/>
      </w:pPr>
    </w:p>
  </w:footnote>
  <w:footnote w:id="132">
    <w:p w14:paraId="6876FF76" w14:textId="48E00E83" w:rsidR="00BB4103" w:rsidRDefault="00FA62F0">
      <w:pPr>
        <w:pStyle w:val="FootnoteText"/>
      </w:pPr>
      <w:r>
        <w:tab/>
      </w:r>
      <w:r w:rsidR="00BB4103">
        <w:rPr>
          <w:rStyle w:val="FootnoteReference"/>
        </w:rPr>
        <w:footnoteRef/>
      </w:r>
      <w:r w:rsidR="00BB4103">
        <w:t xml:space="preserve"> </w:t>
      </w:r>
      <w:r w:rsidR="00663C81">
        <w:t>Youngblood, Bruce, and Harrison, eds., “</w:t>
      </w:r>
      <w:r w:rsidR="007A7F83">
        <w:t>HUSHAI</w:t>
      </w:r>
      <w:r w:rsidR="00663C81">
        <w:t xml:space="preserve">,” </w:t>
      </w:r>
      <w:r w:rsidR="00663C81">
        <w:rPr>
          <w:i/>
          <w:iCs/>
        </w:rPr>
        <w:t>Nelson’s Compact Series: Compact Bible Dictionary</w:t>
      </w:r>
      <w:r w:rsidR="00663C81">
        <w:t xml:space="preserve">, </w:t>
      </w:r>
      <w:r w:rsidR="007A7F83">
        <w:t>279</w:t>
      </w:r>
      <w:r w:rsidR="00663C81">
        <w:t xml:space="preserve">. </w:t>
      </w:r>
    </w:p>
    <w:p w14:paraId="7A54F36D" w14:textId="77777777" w:rsidR="00D246FC" w:rsidRDefault="00D246FC">
      <w:pPr>
        <w:pStyle w:val="FootnoteText"/>
      </w:pPr>
    </w:p>
  </w:footnote>
  <w:footnote w:id="133">
    <w:p w14:paraId="56944DD4" w14:textId="569999DB" w:rsidR="00D246FC" w:rsidRDefault="00FA62F0">
      <w:pPr>
        <w:pStyle w:val="FootnoteText"/>
      </w:pPr>
      <w:r>
        <w:tab/>
      </w:r>
      <w:r w:rsidR="00D246FC">
        <w:rPr>
          <w:rStyle w:val="FootnoteReference"/>
        </w:rPr>
        <w:footnoteRef/>
      </w:r>
      <w:r w:rsidR="00D246FC">
        <w:t xml:space="preserve"> Andrews and Bergen, </w:t>
      </w:r>
      <w:r w:rsidR="00C3449A" w:rsidRPr="00C3449A">
        <w:rPr>
          <w:i/>
          <w:iCs/>
        </w:rPr>
        <w:t>HOTC</w:t>
      </w:r>
      <w:r w:rsidR="00C3449A">
        <w:t xml:space="preserve">, </w:t>
      </w:r>
      <w:r w:rsidR="007A2E1B">
        <w:t xml:space="preserve">304. </w:t>
      </w:r>
    </w:p>
    <w:p w14:paraId="70BEBAAC" w14:textId="77777777" w:rsidR="009F213F" w:rsidRDefault="009F213F">
      <w:pPr>
        <w:pStyle w:val="FootnoteText"/>
      </w:pPr>
    </w:p>
  </w:footnote>
  <w:footnote w:id="134">
    <w:p w14:paraId="4CD11B40" w14:textId="5DB05C0B" w:rsidR="00C32654" w:rsidRDefault="00FA62F0" w:rsidP="00C32654">
      <w:pPr>
        <w:pStyle w:val="FootnoteText"/>
      </w:pPr>
      <w:r>
        <w:tab/>
      </w:r>
      <w:r w:rsidR="00654DD6">
        <w:rPr>
          <w:rStyle w:val="FootnoteReference"/>
        </w:rPr>
        <w:footnoteRef/>
      </w:r>
      <w:r w:rsidR="00654DD6">
        <w:t xml:space="preserve"> Jo Ann Hackett, “ZADOK, ZADOKITES,”</w:t>
      </w:r>
      <w:r w:rsidR="00C3449A">
        <w:t xml:space="preserve"> </w:t>
      </w:r>
      <w:r w:rsidR="00C32654">
        <w:rPr>
          <w:i/>
          <w:iCs/>
        </w:rPr>
        <w:t>The Oxford Guide to People &amp; Places of the Bible</w:t>
      </w:r>
      <w:r w:rsidR="00C32654">
        <w:t>, 343.</w:t>
      </w:r>
    </w:p>
    <w:p w14:paraId="194FE3B2" w14:textId="77777777" w:rsidR="00C32654" w:rsidRDefault="00C32654">
      <w:pPr>
        <w:pStyle w:val="FootnoteText"/>
      </w:pPr>
    </w:p>
  </w:footnote>
  <w:footnote w:id="135">
    <w:p w14:paraId="34CDE221" w14:textId="51C80B01" w:rsidR="009F213F" w:rsidRDefault="00FA62F0">
      <w:pPr>
        <w:pStyle w:val="FootnoteText"/>
      </w:pPr>
      <w:r>
        <w:tab/>
      </w:r>
      <w:r w:rsidR="009F213F">
        <w:rPr>
          <w:rStyle w:val="FootnoteReference"/>
        </w:rPr>
        <w:footnoteRef/>
      </w:r>
      <w:r w:rsidR="009F213F">
        <w:t xml:space="preserve"> Unger, </w:t>
      </w:r>
      <w:r w:rsidR="00FB62F0">
        <w:t xml:space="preserve">“SHIM’EI,” 1184. </w:t>
      </w:r>
    </w:p>
  </w:footnote>
  <w:footnote w:id="136">
    <w:p w14:paraId="27ECD959" w14:textId="025B0C9E" w:rsidR="00110AD3" w:rsidRDefault="00FA62F0">
      <w:pPr>
        <w:pStyle w:val="FootnoteText"/>
      </w:pPr>
      <w:r>
        <w:tab/>
      </w:r>
      <w:r w:rsidR="00110AD3">
        <w:rPr>
          <w:rStyle w:val="FootnoteReference"/>
        </w:rPr>
        <w:footnoteRef/>
      </w:r>
      <w:r w:rsidR="00110AD3">
        <w:t xml:space="preserve"> Youngblood, Bruce, and Harrison, eds., “MAHANAIM,” </w:t>
      </w:r>
      <w:r w:rsidR="00110AD3">
        <w:rPr>
          <w:i/>
          <w:iCs/>
        </w:rPr>
        <w:t>Nelson’s Compact Series: Compact Bible Dictionary</w:t>
      </w:r>
      <w:r w:rsidR="00BD0695">
        <w:t xml:space="preserve">, 381. </w:t>
      </w:r>
    </w:p>
    <w:p w14:paraId="1593CCE5" w14:textId="77777777" w:rsidR="00615D79" w:rsidRPr="00BD0695" w:rsidRDefault="00615D79">
      <w:pPr>
        <w:pStyle w:val="FootnoteText"/>
      </w:pPr>
    </w:p>
  </w:footnote>
  <w:footnote w:id="137">
    <w:p w14:paraId="1C855B38" w14:textId="79FFC869" w:rsidR="00615D79" w:rsidRDefault="00FA62F0">
      <w:pPr>
        <w:pStyle w:val="FootnoteText"/>
      </w:pPr>
      <w:r>
        <w:tab/>
      </w:r>
      <w:r w:rsidR="00615D79">
        <w:rPr>
          <w:rStyle w:val="FootnoteReference"/>
        </w:rPr>
        <w:footnoteRef/>
      </w:r>
      <w:r w:rsidR="00615D79">
        <w:t xml:space="preserve"> Unger, “B</w:t>
      </w:r>
      <w:r w:rsidR="00911169">
        <w:t>ARZIL</w:t>
      </w:r>
      <w:r w:rsidR="00615D79">
        <w:t>’</w:t>
      </w:r>
      <w:r w:rsidR="00911169">
        <w:t xml:space="preserve">LAI,” 147-148. </w:t>
      </w:r>
    </w:p>
  </w:footnote>
  <w:footnote w:id="138">
    <w:p w14:paraId="33BFB024" w14:textId="64B85B22" w:rsidR="00132D83" w:rsidRDefault="00FA62F0">
      <w:pPr>
        <w:pStyle w:val="FootnoteText"/>
      </w:pPr>
      <w:r>
        <w:tab/>
      </w:r>
      <w:r w:rsidR="00132D83">
        <w:rPr>
          <w:rStyle w:val="FootnoteReference"/>
        </w:rPr>
        <w:footnoteRef/>
      </w:r>
      <w:r w:rsidR="00132D83">
        <w:t xml:space="preserve"> And</w:t>
      </w:r>
      <w:r w:rsidR="00174C98">
        <w:t xml:space="preserve">rews and Bergen, </w:t>
      </w:r>
      <w:r w:rsidR="00C3449A" w:rsidRPr="00C3449A">
        <w:rPr>
          <w:i/>
          <w:iCs/>
        </w:rPr>
        <w:t>HOTC</w:t>
      </w:r>
      <w:r w:rsidR="00C3449A">
        <w:t xml:space="preserve">, </w:t>
      </w:r>
      <w:r w:rsidR="00174C98">
        <w:t xml:space="preserve">326. </w:t>
      </w:r>
    </w:p>
    <w:p w14:paraId="671B8106" w14:textId="77777777" w:rsidR="00174C98" w:rsidRDefault="00174C98">
      <w:pPr>
        <w:pStyle w:val="FootnoteText"/>
      </w:pPr>
    </w:p>
  </w:footnote>
  <w:footnote w:id="139">
    <w:p w14:paraId="6AE81375" w14:textId="0F8D02FE" w:rsidR="00C676DA" w:rsidRDefault="00FA62F0">
      <w:pPr>
        <w:pStyle w:val="FootnoteText"/>
      </w:pPr>
      <w:r>
        <w:tab/>
      </w:r>
      <w:r w:rsidR="00C676DA">
        <w:rPr>
          <w:rStyle w:val="FootnoteReference"/>
        </w:rPr>
        <w:footnoteRef/>
      </w:r>
      <w:r w:rsidR="00C3449A">
        <w:t xml:space="preserve"> </w:t>
      </w:r>
      <w:r w:rsidR="00C676DA">
        <w:t xml:space="preserve">Youngblood, Bruce, and Harrison, eds., “MAHANAIM,” </w:t>
      </w:r>
      <w:r w:rsidR="00C676DA">
        <w:rPr>
          <w:i/>
          <w:iCs/>
        </w:rPr>
        <w:t>Nelson’s Compact Series: Compact Bible Dictionary</w:t>
      </w:r>
      <w:r w:rsidR="00C676DA">
        <w:t>, 3-4.</w:t>
      </w:r>
    </w:p>
    <w:p w14:paraId="3B8D184A" w14:textId="77777777" w:rsidR="001E372D" w:rsidRDefault="001E372D">
      <w:pPr>
        <w:pStyle w:val="FootnoteText"/>
      </w:pPr>
    </w:p>
  </w:footnote>
  <w:footnote w:id="140">
    <w:p w14:paraId="1F676FF0" w14:textId="2FB8835F" w:rsidR="001E372D" w:rsidRPr="001E372D" w:rsidRDefault="00FA62F0">
      <w:pPr>
        <w:pStyle w:val="FootnoteText"/>
      </w:pPr>
      <w:r>
        <w:tab/>
      </w:r>
      <w:r w:rsidR="001E372D">
        <w:rPr>
          <w:rStyle w:val="FootnoteReference"/>
        </w:rPr>
        <w:footnoteRef/>
      </w:r>
      <w:r w:rsidR="001E372D">
        <w:t xml:space="preserve"> “Epilogue,” </w:t>
      </w:r>
      <w:r w:rsidR="001E372D">
        <w:rPr>
          <w:i/>
          <w:iCs/>
        </w:rPr>
        <w:t>ESV Study Bible</w:t>
      </w:r>
      <w:r w:rsidR="001E372D">
        <w:t xml:space="preserve">, </w:t>
      </w:r>
      <w:r w:rsidR="00C865A1">
        <w:t xml:space="preserve">576. </w:t>
      </w:r>
    </w:p>
  </w:footnote>
  <w:footnote w:id="141">
    <w:p w14:paraId="0E9311BC" w14:textId="549496B9" w:rsidR="00FA6D0C" w:rsidRDefault="00FA62F0">
      <w:pPr>
        <w:pStyle w:val="FootnoteText"/>
      </w:pPr>
      <w:r>
        <w:tab/>
      </w:r>
      <w:r w:rsidR="00FA6D0C">
        <w:rPr>
          <w:rStyle w:val="FootnoteReference"/>
        </w:rPr>
        <w:footnoteRef/>
      </w:r>
      <w:r w:rsidR="00FA6D0C">
        <w:t xml:space="preserve"> </w:t>
      </w:r>
      <w:r w:rsidR="00D92552">
        <w:t>“21:16,”</w:t>
      </w:r>
      <w:r w:rsidR="00FA6D0C">
        <w:t xml:space="preserve"> </w:t>
      </w:r>
      <w:r w:rsidR="00FA6D0C">
        <w:rPr>
          <w:i/>
          <w:iCs/>
        </w:rPr>
        <w:t>ESV Study Bible</w:t>
      </w:r>
      <w:r w:rsidR="00FA6D0C">
        <w:t>, 576.</w:t>
      </w:r>
    </w:p>
    <w:p w14:paraId="6EDBE07F" w14:textId="77777777" w:rsidR="00047C60" w:rsidRDefault="00047C60">
      <w:pPr>
        <w:pStyle w:val="FootnoteText"/>
      </w:pPr>
    </w:p>
  </w:footnote>
  <w:footnote w:id="142">
    <w:p w14:paraId="75223865" w14:textId="63670E6C" w:rsidR="00047C60" w:rsidRDefault="00FA62F0">
      <w:pPr>
        <w:pStyle w:val="FootnoteText"/>
      </w:pPr>
      <w:r>
        <w:tab/>
      </w:r>
      <w:r w:rsidR="00047C60">
        <w:rPr>
          <w:rStyle w:val="FootnoteReference"/>
        </w:rPr>
        <w:footnoteRef/>
      </w:r>
      <w:r w:rsidR="00047C60">
        <w:t xml:space="preserve"> </w:t>
      </w:r>
      <w:r w:rsidR="00722203">
        <w:t>McCarter,</w:t>
      </w:r>
      <w:r w:rsidR="00C3449A">
        <w:t xml:space="preserve"> </w:t>
      </w:r>
      <w:r w:rsidR="00C3449A" w:rsidRPr="00C3449A">
        <w:rPr>
          <w:i/>
          <w:iCs/>
        </w:rPr>
        <w:t>TAB</w:t>
      </w:r>
      <w:r w:rsidR="00C3449A">
        <w:t>,</w:t>
      </w:r>
      <w:r w:rsidR="00722203">
        <w:t xml:space="preserve"> 449. </w:t>
      </w:r>
    </w:p>
    <w:p w14:paraId="45210FAC" w14:textId="77777777" w:rsidR="00722203" w:rsidRDefault="00722203">
      <w:pPr>
        <w:pStyle w:val="FootnoteText"/>
      </w:pPr>
    </w:p>
  </w:footnote>
  <w:footnote w:id="143">
    <w:p w14:paraId="3C36E077" w14:textId="3C995112" w:rsidR="00722203" w:rsidRDefault="00FA62F0">
      <w:pPr>
        <w:pStyle w:val="FootnoteText"/>
      </w:pPr>
      <w:r>
        <w:tab/>
      </w:r>
      <w:r w:rsidR="00722203">
        <w:rPr>
          <w:rStyle w:val="FootnoteReference"/>
        </w:rPr>
        <w:footnoteRef/>
      </w:r>
      <w:r w:rsidR="00722203">
        <w:t xml:space="preserve"> Bergen, </w:t>
      </w:r>
      <w:r w:rsidR="00C3449A" w:rsidRPr="00C3449A">
        <w:rPr>
          <w:i/>
          <w:iCs/>
        </w:rPr>
        <w:t>NAC</w:t>
      </w:r>
      <w:r w:rsidR="00C3449A">
        <w:t xml:space="preserve">, </w:t>
      </w:r>
      <w:r w:rsidR="00722203">
        <w:t xml:space="preserve">448. Bergen has a helpful overview of </w:t>
      </w:r>
      <w:r w:rsidR="00190C84">
        <w:t xml:space="preserve">the Rapha on </w:t>
      </w:r>
      <w:r w:rsidR="00AC483A">
        <w:t xml:space="preserve">pg. </w:t>
      </w:r>
      <w:r w:rsidR="00190C84">
        <w:t xml:space="preserve">448. </w:t>
      </w:r>
    </w:p>
    <w:p w14:paraId="019DFE0B" w14:textId="77777777" w:rsidR="00B661B6" w:rsidRDefault="00B661B6">
      <w:pPr>
        <w:pStyle w:val="FootnoteText"/>
      </w:pPr>
    </w:p>
  </w:footnote>
  <w:footnote w:id="144">
    <w:p w14:paraId="335D733E" w14:textId="59AA511F" w:rsidR="00B661B6" w:rsidRDefault="00FA62F0">
      <w:pPr>
        <w:pStyle w:val="FootnoteText"/>
      </w:pPr>
      <w:r>
        <w:tab/>
      </w:r>
      <w:r w:rsidR="00B661B6">
        <w:rPr>
          <w:rStyle w:val="FootnoteReference"/>
        </w:rPr>
        <w:footnoteRef/>
      </w:r>
      <w:r w:rsidR="00B661B6">
        <w:t xml:space="preserve"> Bergen,</w:t>
      </w:r>
      <w:r w:rsidR="00C3449A">
        <w:t xml:space="preserve"> </w:t>
      </w:r>
      <w:r w:rsidR="00C3449A" w:rsidRPr="00C3449A">
        <w:rPr>
          <w:i/>
          <w:iCs/>
        </w:rPr>
        <w:t>NAC</w:t>
      </w:r>
      <w:r w:rsidR="00C3449A">
        <w:t xml:space="preserve">, </w:t>
      </w:r>
      <w:r w:rsidR="00940E44">
        <w:t xml:space="preserve">450. </w:t>
      </w:r>
    </w:p>
    <w:p w14:paraId="0483BC0E" w14:textId="77777777" w:rsidR="00940E44" w:rsidRDefault="00940E44">
      <w:pPr>
        <w:pStyle w:val="FootnoteText"/>
      </w:pPr>
    </w:p>
  </w:footnote>
  <w:footnote w:id="145">
    <w:p w14:paraId="4AC58966" w14:textId="75F6F9BC" w:rsidR="00940E44" w:rsidRDefault="00FA62F0">
      <w:pPr>
        <w:pStyle w:val="FootnoteText"/>
      </w:pPr>
      <w:r>
        <w:tab/>
      </w:r>
      <w:r w:rsidR="00940E44">
        <w:rPr>
          <w:rStyle w:val="FootnoteReference"/>
        </w:rPr>
        <w:footnoteRef/>
      </w:r>
      <w:r w:rsidR="00940E44">
        <w:t xml:space="preserve"> Bergen, </w:t>
      </w:r>
      <w:r w:rsidR="00C3449A" w:rsidRPr="00C3449A">
        <w:rPr>
          <w:i/>
          <w:iCs/>
        </w:rPr>
        <w:t>NAC</w:t>
      </w:r>
      <w:r w:rsidR="00C3449A">
        <w:t xml:space="preserve">, </w:t>
      </w:r>
      <w:r w:rsidR="00940E44">
        <w:t xml:space="preserve">450. For a more detailed analysis of </w:t>
      </w:r>
      <w:r w:rsidR="005B51F6">
        <w:t>Psalm 22, see Andrews</w:t>
      </w:r>
      <w:r w:rsidR="00C3449A">
        <w:t xml:space="preserve">, </w:t>
      </w:r>
      <w:r w:rsidR="00ED3DBE" w:rsidRPr="00ED3DBE">
        <w:rPr>
          <w:i/>
          <w:iCs/>
        </w:rPr>
        <w:t>WBC</w:t>
      </w:r>
      <w:r w:rsidR="00ED3DBE">
        <w:t xml:space="preserve">, </w:t>
      </w:r>
      <w:r w:rsidR="005B51F6">
        <w:t xml:space="preserve">261-265. </w:t>
      </w:r>
    </w:p>
    <w:p w14:paraId="3E8BAB52" w14:textId="77777777" w:rsidR="007110A6" w:rsidRDefault="007110A6">
      <w:pPr>
        <w:pStyle w:val="FootnoteText"/>
      </w:pPr>
    </w:p>
  </w:footnote>
  <w:footnote w:id="146">
    <w:p w14:paraId="1A1F9047" w14:textId="1ED79B95" w:rsidR="00412BDE" w:rsidRDefault="00FA62F0">
      <w:pPr>
        <w:pStyle w:val="FootnoteText"/>
      </w:pPr>
      <w:r>
        <w:tab/>
      </w:r>
      <w:r w:rsidR="00412BDE">
        <w:rPr>
          <w:rStyle w:val="FootnoteReference"/>
        </w:rPr>
        <w:footnoteRef/>
      </w:r>
      <w:r w:rsidR="00412BDE">
        <w:t xml:space="preserve"> </w:t>
      </w:r>
      <w:r w:rsidR="00D95D51">
        <w:t xml:space="preserve">S. </w:t>
      </w:r>
      <w:r w:rsidR="00412BDE">
        <w:t>Szikszai, “</w:t>
      </w:r>
      <w:r w:rsidR="00D95D51">
        <w:t>MIGHTY MEN</w:t>
      </w:r>
      <w:r w:rsidR="00412BDE">
        <w:t xml:space="preserve">,” </w:t>
      </w:r>
      <w:r w:rsidR="00412BDE" w:rsidRPr="004934A9">
        <w:rPr>
          <w:i/>
          <w:iCs/>
        </w:rPr>
        <w:t>Interpreter’s Dictionary of the Bible</w:t>
      </w:r>
      <w:r w:rsidR="00412BDE">
        <w:t>, 3</w:t>
      </w:r>
      <w:r w:rsidR="00D95D51">
        <w:t>76</w:t>
      </w:r>
      <w:r w:rsidR="00412BDE">
        <w:t>.</w:t>
      </w:r>
    </w:p>
    <w:p w14:paraId="64C5E991" w14:textId="50786763" w:rsidR="00412BDE" w:rsidRDefault="00FA62F0">
      <w:pPr>
        <w:pStyle w:val="FootnoteText"/>
      </w:pPr>
      <w:r>
        <w:tab/>
      </w:r>
    </w:p>
  </w:footnote>
  <w:footnote w:id="147">
    <w:p w14:paraId="5671F577" w14:textId="36232D03" w:rsidR="00FE709F" w:rsidRDefault="00FA62F0">
      <w:pPr>
        <w:pStyle w:val="FootnoteText"/>
      </w:pPr>
      <w:r>
        <w:tab/>
      </w:r>
      <w:r w:rsidR="00FE709F">
        <w:rPr>
          <w:rStyle w:val="FootnoteReference"/>
        </w:rPr>
        <w:footnoteRef/>
      </w:r>
      <w:r w:rsidR="00FE709F">
        <w:t xml:space="preserve"> “</w:t>
      </w:r>
      <w:r w:rsidR="00D0519F">
        <w:t xml:space="preserve">David’s Heroes,” </w:t>
      </w:r>
      <w:r w:rsidR="00D0519F">
        <w:rPr>
          <w:i/>
          <w:iCs/>
        </w:rPr>
        <w:t>ESV Study Bible</w:t>
      </w:r>
      <w:r w:rsidR="00D0519F">
        <w:t xml:space="preserve">, 581. </w:t>
      </w:r>
    </w:p>
    <w:p w14:paraId="32505769" w14:textId="77777777" w:rsidR="00E00295" w:rsidRPr="00D0519F" w:rsidRDefault="00E00295">
      <w:pPr>
        <w:pStyle w:val="FootnoteText"/>
      </w:pPr>
    </w:p>
  </w:footnote>
  <w:footnote w:id="148">
    <w:p w14:paraId="1F8C7CD6" w14:textId="7E82A314" w:rsidR="00E00295" w:rsidRDefault="00FA62F0">
      <w:pPr>
        <w:pStyle w:val="FootnoteText"/>
      </w:pPr>
      <w:r>
        <w:tab/>
      </w:r>
      <w:r w:rsidR="00E00295">
        <w:rPr>
          <w:rStyle w:val="FootnoteReference"/>
        </w:rPr>
        <w:footnoteRef/>
      </w:r>
      <w:r w:rsidR="00E00295">
        <w:t xml:space="preserve"> </w:t>
      </w:r>
      <w:r w:rsidR="00AF4A8F">
        <w:t xml:space="preserve">Arnold, </w:t>
      </w:r>
      <w:r w:rsidR="00ED3DBE">
        <w:rPr>
          <w:i/>
          <w:iCs/>
        </w:rPr>
        <w:t>TNAC</w:t>
      </w:r>
      <w:r w:rsidR="004A435D">
        <w:t>,</w:t>
      </w:r>
      <w:r w:rsidR="00AF4A8F">
        <w:t xml:space="preserve"> </w:t>
      </w:r>
      <w:r w:rsidR="00E65531">
        <w:t>643-644.</w:t>
      </w:r>
    </w:p>
    <w:p w14:paraId="30D83CB8" w14:textId="77777777" w:rsidR="004A435D" w:rsidRDefault="004A435D">
      <w:pPr>
        <w:pStyle w:val="FootnoteText"/>
      </w:pPr>
    </w:p>
  </w:footnote>
  <w:footnote w:id="149">
    <w:p w14:paraId="568C088D" w14:textId="4E32819E" w:rsidR="004A435D" w:rsidRDefault="00FA62F0">
      <w:pPr>
        <w:pStyle w:val="FootnoteText"/>
      </w:pPr>
      <w:r>
        <w:tab/>
      </w:r>
      <w:r w:rsidR="004A435D">
        <w:rPr>
          <w:rStyle w:val="FootnoteReference"/>
        </w:rPr>
        <w:footnoteRef/>
      </w:r>
      <w:r w:rsidR="004A435D">
        <w:t xml:space="preserve"> Arnold, </w:t>
      </w:r>
      <w:r w:rsidR="00ED3DBE" w:rsidRPr="00ED3DBE">
        <w:rPr>
          <w:i/>
          <w:iCs/>
        </w:rPr>
        <w:t>TNAC</w:t>
      </w:r>
      <w:r w:rsidR="00ED3DBE">
        <w:t xml:space="preserve">, </w:t>
      </w:r>
      <w:r w:rsidR="00051661">
        <w:t>644.</w:t>
      </w:r>
    </w:p>
    <w:p w14:paraId="3A96F004" w14:textId="74B7320B" w:rsidR="00E52635" w:rsidRDefault="00FA62F0">
      <w:pPr>
        <w:pStyle w:val="FootnoteText"/>
      </w:pPr>
      <w:r>
        <w:tab/>
      </w:r>
    </w:p>
  </w:footnote>
  <w:footnote w:id="150">
    <w:p w14:paraId="542DCAC5" w14:textId="3307D2E6" w:rsidR="00E52635" w:rsidRDefault="00FA62F0">
      <w:pPr>
        <w:pStyle w:val="FootnoteText"/>
      </w:pPr>
      <w:r>
        <w:tab/>
      </w:r>
      <w:r w:rsidR="00E52635">
        <w:rPr>
          <w:rStyle w:val="FootnoteReference"/>
        </w:rPr>
        <w:footnoteRef/>
      </w:r>
      <w:r w:rsidR="00E52635">
        <w:t xml:space="preserve"> Andrews and Bergen, </w:t>
      </w:r>
      <w:r w:rsidR="00ED3DBE" w:rsidRPr="00ED3DBE">
        <w:rPr>
          <w:i/>
          <w:iCs/>
        </w:rPr>
        <w:t>HOTC</w:t>
      </w:r>
      <w:r w:rsidR="00ED3DBE">
        <w:t xml:space="preserve">, </w:t>
      </w:r>
      <w:r w:rsidR="00E52635">
        <w:t xml:space="preserve">368. </w:t>
      </w:r>
    </w:p>
    <w:p w14:paraId="6D35ACA8" w14:textId="77777777" w:rsidR="009A22F4" w:rsidRDefault="009A22F4">
      <w:pPr>
        <w:pStyle w:val="FootnoteText"/>
      </w:pPr>
    </w:p>
  </w:footnote>
  <w:footnote w:id="151">
    <w:p w14:paraId="66BB5FF3" w14:textId="5306D5C9" w:rsidR="00424D72" w:rsidRDefault="00FA62F0">
      <w:pPr>
        <w:pStyle w:val="FootnoteText"/>
      </w:pPr>
      <w:r>
        <w:tab/>
      </w:r>
      <w:r w:rsidR="00424D72">
        <w:rPr>
          <w:rStyle w:val="FootnoteReference"/>
        </w:rPr>
        <w:footnoteRef/>
      </w:r>
      <w:r w:rsidR="00424D72">
        <w:t xml:space="preserve"> Unger, “GAD,” </w:t>
      </w:r>
      <w:r w:rsidR="00CB6DBA">
        <w:t xml:space="preserve">450. </w:t>
      </w:r>
    </w:p>
    <w:p w14:paraId="5A43FA71" w14:textId="77777777" w:rsidR="00CB6DBA" w:rsidRDefault="00CB6DBA">
      <w:pPr>
        <w:pStyle w:val="FootnoteText"/>
      </w:pPr>
    </w:p>
  </w:footnote>
  <w:footnote w:id="152">
    <w:p w14:paraId="334F148A" w14:textId="484466D3" w:rsidR="00DB6CD6" w:rsidRDefault="00FA62F0" w:rsidP="00DB6CD6">
      <w:pPr>
        <w:pStyle w:val="FootnoteText"/>
      </w:pPr>
      <w:r>
        <w:tab/>
      </w:r>
      <w:r w:rsidR="00DB6CD6">
        <w:rPr>
          <w:rStyle w:val="FootnoteReference"/>
        </w:rPr>
        <w:footnoteRef/>
      </w:r>
      <w:r w:rsidR="00DB6CD6">
        <w:t xml:space="preserve"> </w:t>
      </w:r>
      <w:r w:rsidR="00ED3DBE">
        <w:t>Crossway Books, “</w:t>
      </w:r>
      <w:r w:rsidR="00DB6CD6">
        <w:t>Historical Books Timeline,</w:t>
      </w:r>
      <w:r w:rsidR="00ED3DBE">
        <w:t>” available from</w:t>
      </w:r>
      <w:r w:rsidR="00DB6CD6">
        <w:t xml:space="preserve"> </w:t>
      </w:r>
      <w:r w:rsidR="00DB6CD6" w:rsidRPr="00ED3DBE">
        <w:t>https://www.esv.org/resources/esv-global-study-bible/chart-06-historical-intro/</w:t>
      </w:r>
    </w:p>
    <w:p w14:paraId="7BD3B650" w14:textId="77777777" w:rsidR="00DB6CD6" w:rsidRDefault="00DB6CD6" w:rsidP="00DB6CD6">
      <w:pPr>
        <w:pStyle w:val="FootnoteText"/>
      </w:pPr>
    </w:p>
  </w:footnote>
  <w:footnote w:id="153">
    <w:p w14:paraId="7F8FD6FE" w14:textId="03297F3A" w:rsidR="00DB6CD6" w:rsidRDefault="00FA62F0">
      <w:pPr>
        <w:pStyle w:val="FootnoteText"/>
      </w:pPr>
      <w:r>
        <w:tab/>
      </w:r>
      <w:r w:rsidR="00DB6CD6">
        <w:rPr>
          <w:rStyle w:val="FootnoteReference"/>
        </w:rPr>
        <w:footnoteRef/>
      </w:r>
      <w:r w:rsidR="00DB6CD6">
        <w:t xml:space="preserve"> </w:t>
      </w:r>
      <w:r w:rsidR="00ED3DBE">
        <w:t xml:space="preserve">Kyle M. Yates, </w:t>
      </w:r>
      <w:r w:rsidR="00ED3DBE" w:rsidRPr="00DE160F">
        <w:rPr>
          <w:i/>
          <w:iCs/>
        </w:rPr>
        <w:t>Preaching from the Prophets</w:t>
      </w:r>
      <w:r w:rsidR="00ED3DBE">
        <w:t xml:space="preserve"> (Nashville: The Broadman Press, 1942), </w:t>
      </w:r>
      <w:r w:rsidR="00C62AA4">
        <w:t xml:space="preserve">4-5. </w:t>
      </w:r>
    </w:p>
  </w:footnote>
  <w:footnote w:id="154">
    <w:p w14:paraId="6A3F91CF" w14:textId="6A028DFD" w:rsidR="001425D9" w:rsidRDefault="00FA62F0" w:rsidP="001425D9">
      <w:pPr>
        <w:pStyle w:val="FootnoteText"/>
      </w:pPr>
      <w:r>
        <w:tab/>
      </w:r>
      <w:r w:rsidR="001425D9">
        <w:rPr>
          <w:rStyle w:val="FootnoteReference"/>
        </w:rPr>
        <w:footnoteRef/>
      </w:r>
      <w:r w:rsidR="001425D9">
        <w:t xml:space="preserve"> Kyle M. Yate’s classic work, </w:t>
      </w:r>
      <w:r w:rsidR="001425D9">
        <w:rPr>
          <w:i/>
          <w:iCs/>
        </w:rPr>
        <w:t xml:space="preserve">Preaching from the Prophets, </w:t>
      </w:r>
      <w:r w:rsidR="001425D9">
        <w:t xml:space="preserve">is a helpful resource for finding biographical information about the prophets. </w:t>
      </w:r>
    </w:p>
    <w:p w14:paraId="23C99688" w14:textId="77777777" w:rsidR="001425D9" w:rsidRPr="00FF0E4F" w:rsidRDefault="001425D9" w:rsidP="001425D9">
      <w:pPr>
        <w:pStyle w:val="FootnoteText"/>
      </w:pPr>
    </w:p>
  </w:footnote>
  <w:footnote w:id="155">
    <w:p w14:paraId="589BEEF0" w14:textId="7F0E0C68" w:rsidR="00532295" w:rsidRDefault="00FA62F0">
      <w:pPr>
        <w:pStyle w:val="FootnoteText"/>
      </w:pPr>
      <w:r>
        <w:tab/>
      </w:r>
      <w:r w:rsidR="00532295">
        <w:rPr>
          <w:rStyle w:val="FootnoteReference"/>
        </w:rPr>
        <w:footnoteRef/>
      </w:r>
      <w:r w:rsidR="00532295">
        <w:t xml:space="preserve"> </w:t>
      </w:r>
      <w:r w:rsidR="009875D6">
        <w:t xml:space="preserve">“Outline,” </w:t>
      </w:r>
      <w:r w:rsidR="009875D6" w:rsidRPr="009875D6">
        <w:rPr>
          <w:i/>
          <w:iCs/>
        </w:rPr>
        <w:t>ESV Study Bible</w:t>
      </w:r>
      <w:r w:rsidR="009875D6">
        <w:t xml:space="preserve">, 541. </w:t>
      </w:r>
    </w:p>
  </w:footnote>
  <w:footnote w:id="156">
    <w:p w14:paraId="5F490E1C" w14:textId="58FEFF65" w:rsidR="009875D6" w:rsidRDefault="00FA62F0">
      <w:pPr>
        <w:pStyle w:val="FootnoteText"/>
      </w:pPr>
      <w:r>
        <w:tab/>
      </w:r>
      <w:r w:rsidR="009875D6">
        <w:rPr>
          <w:rStyle w:val="FootnoteReference"/>
        </w:rPr>
        <w:footnoteRef/>
      </w:r>
      <w:r w:rsidR="009875D6">
        <w:t xml:space="preserve"> “Outline,”</w:t>
      </w:r>
      <w:r w:rsidR="009875D6" w:rsidRPr="009875D6">
        <w:rPr>
          <w:i/>
          <w:iCs/>
        </w:rPr>
        <w:t xml:space="preserve"> ESV Study Bible</w:t>
      </w:r>
      <w:r w:rsidR="009875D6">
        <w:t xml:space="preserve">, </w:t>
      </w:r>
      <w:r w:rsidR="00ED6141">
        <w:t>489-490.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DD894" w14:textId="6570A4AF" w:rsidR="005A2394" w:rsidRDefault="005A2394">
    <w:pPr>
      <w:pStyle w:val="Header"/>
      <w:jc w:val="right"/>
    </w:pPr>
  </w:p>
  <w:p w14:paraId="1BE9B43F" w14:textId="77777777" w:rsidR="005A2394" w:rsidRDefault="005A2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2531034"/>
      <w:docPartObj>
        <w:docPartGallery w:val="Page Numbers (Top of Page)"/>
        <w:docPartUnique/>
      </w:docPartObj>
    </w:sdtPr>
    <w:sdtEndPr>
      <w:rPr>
        <w:noProof/>
      </w:rPr>
    </w:sdtEndPr>
    <w:sdtContent>
      <w:p w14:paraId="392D4930" w14:textId="54A7BA52" w:rsidR="000D335A" w:rsidRDefault="000D335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68557F7" w14:textId="77777777" w:rsidR="008750E6" w:rsidRDefault="00875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62A7"/>
    <w:multiLevelType w:val="hybridMultilevel"/>
    <w:tmpl w:val="F546224C"/>
    <w:lvl w:ilvl="0" w:tplc="070A5932">
      <w:start w:val="1"/>
      <w:numFmt w:val="bullet"/>
      <w:lvlText w:val="•"/>
      <w:lvlJc w:val="left"/>
      <w:pPr>
        <w:tabs>
          <w:tab w:val="num" w:pos="720"/>
        </w:tabs>
        <w:ind w:left="720" w:hanging="360"/>
      </w:pPr>
      <w:rPr>
        <w:rFonts w:ascii="Arial" w:hAnsi="Arial" w:hint="default"/>
      </w:rPr>
    </w:lvl>
    <w:lvl w:ilvl="1" w:tplc="2BCCA9EC" w:tentative="1">
      <w:start w:val="1"/>
      <w:numFmt w:val="bullet"/>
      <w:lvlText w:val="•"/>
      <w:lvlJc w:val="left"/>
      <w:pPr>
        <w:tabs>
          <w:tab w:val="num" w:pos="1440"/>
        </w:tabs>
        <w:ind w:left="1440" w:hanging="360"/>
      </w:pPr>
      <w:rPr>
        <w:rFonts w:ascii="Arial" w:hAnsi="Arial" w:hint="default"/>
      </w:rPr>
    </w:lvl>
    <w:lvl w:ilvl="2" w:tplc="690EA912" w:tentative="1">
      <w:start w:val="1"/>
      <w:numFmt w:val="bullet"/>
      <w:lvlText w:val="•"/>
      <w:lvlJc w:val="left"/>
      <w:pPr>
        <w:tabs>
          <w:tab w:val="num" w:pos="2160"/>
        </w:tabs>
        <w:ind w:left="2160" w:hanging="360"/>
      </w:pPr>
      <w:rPr>
        <w:rFonts w:ascii="Arial" w:hAnsi="Arial" w:hint="default"/>
      </w:rPr>
    </w:lvl>
    <w:lvl w:ilvl="3" w:tplc="ABBA7692" w:tentative="1">
      <w:start w:val="1"/>
      <w:numFmt w:val="bullet"/>
      <w:lvlText w:val="•"/>
      <w:lvlJc w:val="left"/>
      <w:pPr>
        <w:tabs>
          <w:tab w:val="num" w:pos="2880"/>
        </w:tabs>
        <w:ind w:left="2880" w:hanging="360"/>
      </w:pPr>
      <w:rPr>
        <w:rFonts w:ascii="Arial" w:hAnsi="Arial" w:hint="default"/>
      </w:rPr>
    </w:lvl>
    <w:lvl w:ilvl="4" w:tplc="2C484734" w:tentative="1">
      <w:start w:val="1"/>
      <w:numFmt w:val="bullet"/>
      <w:lvlText w:val="•"/>
      <w:lvlJc w:val="left"/>
      <w:pPr>
        <w:tabs>
          <w:tab w:val="num" w:pos="3600"/>
        </w:tabs>
        <w:ind w:left="3600" w:hanging="360"/>
      </w:pPr>
      <w:rPr>
        <w:rFonts w:ascii="Arial" w:hAnsi="Arial" w:hint="default"/>
      </w:rPr>
    </w:lvl>
    <w:lvl w:ilvl="5" w:tplc="E6FC06CE" w:tentative="1">
      <w:start w:val="1"/>
      <w:numFmt w:val="bullet"/>
      <w:lvlText w:val="•"/>
      <w:lvlJc w:val="left"/>
      <w:pPr>
        <w:tabs>
          <w:tab w:val="num" w:pos="4320"/>
        </w:tabs>
        <w:ind w:left="4320" w:hanging="360"/>
      </w:pPr>
      <w:rPr>
        <w:rFonts w:ascii="Arial" w:hAnsi="Arial" w:hint="default"/>
      </w:rPr>
    </w:lvl>
    <w:lvl w:ilvl="6" w:tplc="77C2D046" w:tentative="1">
      <w:start w:val="1"/>
      <w:numFmt w:val="bullet"/>
      <w:lvlText w:val="•"/>
      <w:lvlJc w:val="left"/>
      <w:pPr>
        <w:tabs>
          <w:tab w:val="num" w:pos="5040"/>
        </w:tabs>
        <w:ind w:left="5040" w:hanging="360"/>
      </w:pPr>
      <w:rPr>
        <w:rFonts w:ascii="Arial" w:hAnsi="Arial" w:hint="default"/>
      </w:rPr>
    </w:lvl>
    <w:lvl w:ilvl="7" w:tplc="B178FEB4" w:tentative="1">
      <w:start w:val="1"/>
      <w:numFmt w:val="bullet"/>
      <w:lvlText w:val="•"/>
      <w:lvlJc w:val="left"/>
      <w:pPr>
        <w:tabs>
          <w:tab w:val="num" w:pos="5760"/>
        </w:tabs>
        <w:ind w:left="5760" w:hanging="360"/>
      </w:pPr>
      <w:rPr>
        <w:rFonts w:ascii="Arial" w:hAnsi="Arial" w:hint="default"/>
      </w:rPr>
    </w:lvl>
    <w:lvl w:ilvl="8" w:tplc="D776679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662461"/>
    <w:multiLevelType w:val="hybridMultilevel"/>
    <w:tmpl w:val="F94467C4"/>
    <w:lvl w:ilvl="0" w:tplc="58A2A85A">
      <w:start w:val="1"/>
      <w:numFmt w:val="decimal"/>
      <w:lvlText w:val="%1."/>
      <w:lvlJc w:val="left"/>
      <w:pPr>
        <w:ind w:left="720" w:hanging="360"/>
      </w:pPr>
      <w:rPr>
        <w:rFonts w:hint="default"/>
        <w:b w:val="0"/>
        <w:bCs w:val="0"/>
      </w:rPr>
    </w:lvl>
    <w:lvl w:ilvl="1" w:tplc="85766912">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25219"/>
    <w:multiLevelType w:val="hybridMultilevel"/>
    <w:tmpl w:val="B8D0783A"/>
    <w:lvl w:ilvl="0" w:tplc="0409000B">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0C7551A"/>
    <w:multiLevelType w:val="hybridMultilevel"/>
    <w:tmpl w:val="35705F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0E05A6"/>
    <w:multiLevelType w:val="hybridMultilevel"/>
    <w:tmpl w:val="9488C528"/>
    <w:lvl w:ilvl="0" w:tplc="F818657A">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9F56B7"/>
    <w:multiLevelType w:val="hybridMultilevel"/>
    <w:tmpl w:val="F68AC3DC"/>
    <w:lvl w:ilvl="0" w:tplc="7C425D0C">
      <w:start w:val="1"/>
      <w:numFmt w:val="decimal"/>
      <w:lvlText w:val="%1."/>
      <w:lvlJc w:val="left"/>
      <w:pPr>
        <w:tabs>
          <w:tab w:val="num" w:pos="720"/>
        </w:tabs>
        <w:ind w:left="720" w:hanging="360"/>
      </w:pPr>
    </w:lvl>
    <w:lvl w:ilvl="1" w:tplc="2A42A8F6" w:tentative="1">
      <w:start w:val="1"/>
      <w:numFmt w:val="decimal"/>
      <w:lvlText w:val="%2."/>
      <w:lvlJc w:val="left"/>
      <w:pPr>
        <w:tabs>
          <w:tab w:val="num" w:pos="1440"/>
        </w:tabs>
        <w:ind w:left="1440" w:hanging="360"/>
      </w:pPr>
    </w:lvl>
    <w:lvl w:ilvl="2" w:tplc="8756743C" w:tentative="1">
      <w:start w:val="1"/>
      <w:numFmt w:val="decimal"/>
      <w:lvlText w:val="%3."/>
      <w:lvlJc w:val="left"/>
      <w:pPr>
        <w:tabs>
          <w:tab w:val="num" w:pos="2160"/>
        </w:tabs>
        <w:ind w:left="2160" w:hanging="360"/>
      </w:pPr>
    </w:lvl>
    <w:lvl w:ilvl="3" w:tplc="7E2008EC" w:tentative="1">
      <w:start w:val="1"/>
      <w:numFmt w:val="decimal"/>
      <w:lvlText w:val="%4."/>
      <w:lvlJc w:val="left"/>
      <w:pPr>
        <w:tabs>
          <w:tab w:val="num" w:pos="2880"/>
        </w:tabs>
        <w:ind w:left="2880" w:hanging="360"/>
      </w:pPr>
    </w:lvl>
    <w:lvl w:ilvl="4" w:tplc="8398D802" w:tentative="1">
      <w:start w:val="1"/>
      <w:numFmt w:val="decimal"/>
      <w:lvlText w:val="%5."/>
      <w:lvlJc w:val="left"/>
      <w:pPr>
        <w:tabs>
          <w:tab w:val="num" w:pos="3600"/>
        </w:tabs>
        <w:ind w:left="3600" w:hanging="360"/>
      </w:pPr>
    </w:lvl>
    <w:lvl w:ilvl="5" w:tplc="551A575A" w:tentative="1">
      <w:start w:val="1"/>
      <w:numFmt w:val="decimal"/>
      <w:lvlText w:val="%6."/>
      <w:lvlJc w:val="left"/>
      <w:pPr>
        <w:tabs>
          <w:tab w:val="num" w:pos="4320"/>
        </w:tabs>
        <w:ind w:left="4320" w:hanging="360"/>
      </w:pPr>
    </w:lvl>
    <w:lvl w:ilvl="6" w:tplc="6FE64206" w:tentative="1">
      <w:start w:val="1"/>
      <w:numFmt w:val="decimal"/>
      <w:lvlText w:val="%7."/>
      <w:lvlJc w:val="left"/>
      <w:pPr>
        <w:tabs>
          <w:tab w:val="num" w:pos="5040"/>
        </w:tabs>
        <w:ind w:left="5040" w:hanging="360"/>
      </w:pPr>
    </w:lvl>
    <w:lvl w:ilvl="7" w:tplc="66AADCAC" w:tentative="1">
      <w:start w:val="1"/>
      <w:numFmt w:val="decimal"/>
      <w:lvlText w:val="%8."/>
      <w:lvlJc w:val="left"/>
      <w:pPr>
        <w:tabs>
          <w:tab w:val="num" w:pos="5760"/>
        </w:tabs>
        <w:ind w:left="5760" w:hanging="360"/>
      </w:pPr>
    </w:lvl>
    <w:lvl w:ilvl="8" w:tplc="710C59B0" w:tentative="1">
      <w:start w:val="1"/>
      <w:numFmt w:val="decimal"/>
      <w:lvlText w:val="%9."/>
      <w:lvlJc w:val="left"/>
      <w:pPr>
        <w:tabs>
          <w:tab w:val="num" w:pos="6480"/>
        </w:tabs>
        <w:ind w:left="6480" w:hanging="360"/>
      </w:pPr>
    </w:lvl>
  </w:abstractNum>
  <w:abstractNum w:abstractNumId="6" w15:restartNumberingAfterBreak="0">
    <w:nsid w:val="1E04384A"/>
    <w:multiLevelType w:val="hybridMultilevel"/>
    <w:tmpl w:val="4AE21F52"/>
    <w:lvl w:ilvl="0" w:tplc="D47296D2">
      <w:start w:val="1"/>
      <w:numFmt w:val="bullet"/>
      <w:lvlText w:val="•"/>
      <w:lvlJc w:val="left"/>
      <w:pPr>
        <w:tabs>
          <w:tab w:val="num" w:pos="720"/>
        </w:tabs>
        <w:ind w:left="720" w:hanging="360"/>
      </w:pPr>
      <w:rPr>
        <w:rFonts w:ascii="Arial" w:hAnsi="Arial" w:hint="default"/>
      </w:rPr>
    </w:lvl>
    <w:lvl w:ilvl="1" w:tplc="9B6ACDB6" w:tentative="1">
      <w:start w:val="1"/>
      <w:numFmt w:val="bullet"/>
      <w:lvlText w:val="•"/>
      <w:lvlJc w:val="left"/>
      <w:pPr>
        <w:tabs>
          <w:tab w:val="num" w:pos="1440"/>
        </w:tabs>
        <w:ind w:left="1440" w:hanging="360"/>
      </w:pPr>
      <w:rPr>
        <w:rFonts w:ascii="Arial" w:hAnsi="Arial" w:hint="default"/>
      </w:rPr>
    </w:lvl>
    <w:lvl w:ilvl="2" w:tplc="775EC2E0" w:tentative="1">
      <w:start w:val="1"/>
      <w:numFmt w:val="bullet"/>
      <w:lvlText w:val="•"/>
      <w:lvlJc w:val="left"/>
      <w:pPr>
        <w:tabs>
          <w:tab w:val="num" w:pos="2160"/>
        </w:tabs>
        <w:ind w:left="2160" w:hanging="360"/>
      </w:pPr>
      <w:rPr>
        <w:rFonts w:ascii="Arial" w:hAnsi="Arial" w:hint="default"/>
      </w:rPr>
    </w:lvl>
    <w:lvl w:ilvl="3" w:tplc="9AE4871A" w:tentative="1">
      <w:start w:val="1"/>
      <w:numFmt w:val="bullet"/>
      <w:lvlText w:val="•"/>
      <w:lvlJc w:val="left"/>
      <w:pPr>
        <w:tabs>
          <w:tab w:val="num" w:pos="2880"/>
        </w:tabs>
        <w:ind w:left="2880" w:hanging="360"/>
      </w:pPr>
      <w:rPr>
        <w:rFonts w:ascii="Arial" w:hAnsi="Arial" w:hint="default"/>
      </w:rPr>
    </w:lvl>
    <w:lvl w:ilvl="4" w:tplc="93B276B4" w:tentative="1">
      <w:start w:val="1"/>
      <w:numFmt w:val="bullet"/>
      <w:lvlText w:val="•"/>
      <w:lvlJc w:val="left"/>
      <w:pPr>
        <w:tabs>
          <w:tab w:val="num" w:pos="3600"/>
        </w:tabs>
        <w:ind w:left="3600" w:hanging="360"/>
      </w:pPr>
      <w:rPr>
        <w:rFonts w:ascii="Arial" w:hAnsi="Arial" w:hint="default"/>
      </w:rPr>
    </w:lvl>
    <w:lvl w:ilvl="5" w:tplc="31A84340" w:tentative="1">
      <w:start w:val="1"/>
      <w:numFmt w:val="bullet"/>
      <w:lvlText w:val="•"/>
      <w:lvlJc w:val="left"/>
      <w:pPr>
        <w:tabs>
          <w:tab w:val="num" w:pos="4320"/>
        </w:tabs>
        <w:ind w:left="4320" w:hanging="360"/>
      </w:pPr>
      <w:rPr>
        <w:rFonts w:ascii="Arial" w:hAnsi="Arial" w:hint="default"/>
      </w:rPr>
    </w:lvl>
    <w:lvl w:ilvl="6" w:tplc="74EE7116" w:tentative="1">
      <w:start w:val="1"/>
      <w:numFmt w:val="bullet"/>
      <w:lvlText w:val="•"/>
      <w:lvlJc w:val="left"/>
      <w:pPr>
        <w:tabs>
          <w:tab w:val="num" w:pos="5040"/>
        </w:tabs>
        <w:ind w:left="5040" w:hanging="360"/>
      </w:pPr>
      <w:rPr>
        <w:rFonts w:ascii="Arial" w:hAnsi="Arial" w:hint="default"/>
      </w:rPr>
    </w:lvl>
    <w:lvl w:ilvl="7" w:tplc="B5E6AD18" w:tentative="1">
      <w:start w:val="1"/>
      <w:numFmt w:val="bullet"/>
      <w:lvlText w:val="•"/>
      <w:lvlJc w:val="left"/>
      <w:pPr>
        <w:tabs>
          <w:tab w:val="num" w:pos="5760"/>
        </w:tabs>
        <w:ind w:left="5760" w:hanging="360"/>
      </w:pPr>
      <w:rPr>
        <w:rFonts w:ascii="Arial" w:hAnsi="Arial" w:hint="default"/>
      </w:rPr>
    </w:lvl>
    <w:lvl w:ilvl="8" w:tplc="03144EB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2772B7"/>
    <w:multiLevelType w:val="hybridMultilevel"/>
    <w:tmpl w:val="6550131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D17F0E"/>
    <w:multiLevelType w:val="hybridMultilevel"/>
    <w:tmpl w:val="1332E50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09197E"/>
    <w:multiLevelType w:val="hybridMultilevel"/>
    <w:tmpl w:val="6AAA64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A634B4"/>
    <w:multiLevelType w:val="hybridMultilevel"/>
    <w:tmpl w:val="1C0EC0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C6036F"/>
    <w:multiLevelType w:val="hybridMultilevel"/>
    <w:tmpl w:val="DFD69E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1965D5"/>
    <w:multiLevelType w:val="hybridMultilevel"/>
    <w:tmpl w:val="41DC0048"/>
    <w:lvl w:ilvl="0" w:tplc="162629D2">
      <w:start w:val="1"/>
      <w:numFmt w:val="bullet"/>
      <w:lvlText w:val=""/>
      <w:lvlJc w:val="left"/>
      <w:pPr>
        <w:ind w:left="720" w:hanging="360"/>
      </w:pPr>
      <w:rPr>
        <w:rFonts w:ascii="Symbol" w:hAnsi="Symbol" w:hint="default"/>
      </w:rPr>
    </w:lvl>
    <w:lvl w:ilvl="1" w:tplc="D44C2478">
      <w:start w:val="1"/>
      <w:numFmt w:val="bullet"/>
      <w:lvlText w:val=""/>
      <w:lvlJc w:val="left"/>
      <w:pPr>
        <w:ind w:left="1440" w:hanging="360"/>
      </w:pPr>
      <w:rPr>
        <w:rFonts w:ascii="Wingdings" w:hAnsi="Wingdings" w:hint="default"/>
      </w:rPr>
    </w:lvl>
    <w:lvl w:ilvl="2" w:tplc="649C13F4">
      <w:start w:val="1"/>
      <w:numFmt w:val="bullet"/>
      <w:lvlText w:val=""/>
      <w:lvlJc w:val="left"/>
      <w:pPr>
        <w:ind w:left="2160" w:hanging="360"/>
      </w:pPr>
      <w:rPr>
        <w:rFonts w:ascii="Wingdings" w:hAnsi="Wingdings" w:hint="default"/>
      </w:rPr>
    </w:lvl>
    <w:lvl w:ilvl="3" w:tplc="FE22FAB6">
      <w:start w:val="1"/>
      <w:numFmt w:val="bullet"/>
      <w:lvlText w:val=""/>
      <w:lvlJc w:val="left"/>
      <w:pPr>
        <w:ind w:left="2880" w:hanging="360"/>
      </w:pPr>
      <w:rPr>
        <w:rFonts w:ascii="Symbol" w:hAnsi="Symbol" w:hint="default"/>
      </w:rPr>
    </w:lvl>
    <w:lvl w:ilvl="4" w:tplc="D04C80B8">
      <w:start w:val="1"/>
      <w:numFmt w:val="bullet"/>
      <w:lvlText w:val="o"/>
      <w:lvlJc w:val="left"/>
      <w:pPr>
        <w:ind w:left="3600" w:hanging="360"/>
      </w:pPr>
      <w:rPr>
        <w:rFonts w:ascii="Courier New" w:hAnsi="Courier New" w:hint="default"/>
      </w:rPr>
    </w:lvl>
    <w:lvl w:ilvl="5" w:tplc="AF443EF2">
      <w:start w:val="1"/>
      <w:numFmt w:val="bullet"/>
      <w:lvlText w:val=""/>
      <w:lvlJc w:val="left"/>
      <w:pPr>
        <w:ind w:left="4320" w:hanging="360"/>
      </w:pPr>
      <w:rPr>
        <w:rFonts w:ascii="Wingdings" w:hAnsi="Wingdings" w:hint="default"/>
      </w:rPr>
    </w:lvl>
    <w:lvl w:ilvl="6" w:tplc="18B420F2">
      <w:start w:val="1"/>
      <w:numFmt w:val="bullet"/>
      <w:lvlText w:val=""/>
      <w:lvlJc w:val="left"/>
      <w:pPr>
        <w:ind w:left="5040" w:hanging="360"/>
      </w:pPr>
      <w:rPr>
        <w:rFonts w:ascii="Symbol" w:hAnsi="Symbol" w:hint="default"/>
      </w:rPr>
    </w:lvl>
    <w:lvl w:ilvl="7" w:tplc="4438AA08">
      <w:start w:val="1"/>
      <w:numFmt w:val="bullet"/>
      <w:lvlText w:val="o"/>
      <w:lvlJc w:val="left"/>
      <w:pPr>
        <w:ind w:left="5760" w:hanging="360"/>
      </w:pPr>
      <w:rPr>
        <w:rFonts w:ascii="Courier New" w:hAnsi="Courier New" w:hint="default"/>
      </w:rPr>
    </w:lvl>
    <w:lvl w:ilvl="8" w:tplc="6C48668E">
      <w:start w:val="1"/>
      <w:numFmt w:val="bullet"/>
      <w:lvlText w:val=""/>
      <w:lvlJc w:val="left"/>
      <w:pPr>
        <w:ind w:left="6480" w:hanging="360"/>
      </w:pPr>
      <w:rPr>
        <w:rFonts w:ascii="Wingdings" w:hAnsi="Wingdings" w:hint="default"/>
      </w:rPr>
    </w:lvl>
  </w:abstractNum>
  <w:abstractNum w:abstractNumId="13" w15:restartNumberingAfterBreak="0">
    <w:nsid w:val="2FA76354"/>
    <w:multiLevelType w:val="hybridMultilevel"/>
    <w:tmpl w:val="D75EC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841510"/>
    <w:multiLevelType w:val="hybridMultilevel"/>
    <w:tmpl w:val="BDFC0DD2"/>
    <w:lvl w:ilvl="0" w:tplc="50A89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BE2957"/>
    <w:multiLevelType w:val="hybridMultilevel"/>
    <w:tmpl w:val="C87E3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952BF"/>
    <w:multiLevelType w:val="multilevel"/>
    <w:tmpl w:val="62D8538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A3829C1"/>
    <w:multiLevelType w:val="hybridMultilevel"/>
    <w:tmpl w:val="184ECDE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B37428"/>
    <w:multiLevelType w:val="hybridMultilevel"/>
    <w:tmpl w:val="FE7A35D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8D3B67"/>
    <w:multiLevelType w:val="hybridMultilevel"/>
    <w:tmpl w:val="625A96C4"/>
    <w:lvl w:ilvl="0" w:tplc="58B46702">
      <w:start w:val="1"/>
      <w:numFmt w:val="decimal"/>
      <w:lvlText w:val="%1."/>
      <w:lvlJc w:val="left"/>
      <w:pPr>
        <w:tabs>
          <w:tab w:val="num" w:pos="720"/>
        </w:tabs>
        <w:ind w:left="720" w:hanging="360"/>
      </w:pPr>
    </w:lvl>
    <w:lvl w:ilvl="1" w:tplc="50FC6CA2" w:tentative="1">
      <w:start w:val="1"/>
      <w:numFmt w:val="decimal"/>
      <w:lvlText w:val="%2."/>
      <w:lvlJc w:val="left"/>
      <w:pPr>
        <w:tabs>
          <w:tab w:val="num" w:pos="1440"/>
        </w:tabs>
        <w:ind w:left="1440" w:hanging="360"/>
      </w:pPr>
    </w:lvl>
    <w:lvl w:ilvl="2" w:tplc="00309960" w:tentative="1">
      <w:start w:val="1"/>
      <w:numFmt w:val="decimal"/>
      <w:lvlText w:val="%3."/>
      <w:lvlJc w:val="left"/>
      <w:pPr>
        <w:tabs>
          <w:tab w:val="num" w:pos="2160"/>
        </w:tabs>
        <w:ind w:left="2160" w:hanging="360"/>
      </w:pPr>
    </w:lvl>
    <w:lvl w:ilvl="3" w:tplc="A0648570" w:tentative="1">
      <w:start w:val="1"/>
      <w:numFmt w:val="decimal"/>
      <w:lvlText w:val="%4."/>
      <w:lvlJc w:val="left"/>
      <w:pPr>
        <w:tabs>
          <w:tab w:val="num" w:pos="2880"/>
        </w:tabs>
        <w:ind w:left="2880" w:hanging="360"/>
      </w:pPr>
    </w:lvl>
    <w:lvl w:ilvl="4" w:tplc="84E4ACC0" w:tentative="1">
      <w:start w:val="1"/>
      <w:numFmt w:val="decimal"/>
      <w:lvlText w:val="%5."/>
      <w:lvlJc w:val="left"/>
      <w:pPr>
        <w:tabs>
          <w:tab w:val="num" w:pos="3600"/>
        </w:tabs>
        <w:ind w:left="3600" w:hanging="360"/>
      </w:pPr>
    </w:lvl>
    <w:lvl w:ilvl="5" w:tplc="E4F08732" w:tentative="1">
      <w:start w:val="1"/>
      <w:numFmt w:val="decimal"/>
      <w:lvlText w:val="%6."/>
      <w:lvlJc w:val="left"/>
      <w:pPr>
        <w:tabs>
          <w:tab w:val="num" w:pos="4320"/>
        </w:tabs>
        <w:ind w:left="4320" w:hanging="360"/>
      </w:pPr>
    </w:lvl>
    <w:lvl w:ilvl="6" w:tplc="F15A9A10" w:tentative="1">
      <w:start w:val="1"/>
      <w:numFmt w:val="decimal"/>
      <w:lvlText w:val="%7."/>
      <w:lvlJc w:val="left"/>
      <w:pPr>
        <w:tabs>
          <w:tab w:val="num" w:pos="5040"/>
        </w:tabs>
        <w:ind w:left="5040" w:hanging="360"/>
      </w:pPr>
    </w:lvl>
    <w:lvl w:ilvl="7" w:tplc="D8CEE566" w:tentative="1">
      <w:start w:val="1"/>
      <w:numFmt w:val="decimal"/>
      <w:lvlText w:val="%8."/>
      <w:lvlJc w:val="left"/>
      <w:pPr>
        <w:tabs>
          <w:tab w:val="num" w:pos="5760"/>
        </w:tabs>
        <w:ind w:left="5760" w:hanging="360"/>
      </w:pPr>
    </w:lvl>
    <w:lvl w:ilvl="8" w:tplc="3502DB36" w:tentative="1">
      <w:start w:val="1"/>
      <w:numFmt w:val="decimal"/>
      <w:lvlText w:val="%9."/>
      <w:lvlJc w:val="left"/>
      <w:pPr>
        <w:tabs>
          <w:tab w:val="num" w:pos="6480"/>
        </w:tabs>
        <w:ind w:left="6480" w:hanging="360"/>
      </w:pPr>
    </w:lvl>
  </w:abstractNum>
  <w:abstractNum w:abstractNumId="20" w15:restartNumberingAfterBreak="0">
    <w:nsid w:val="3FFE4410"/>
    <w:multiLevelType w:val="hybridMultilevel"/>
    <w:tmpl w:val="DF00B27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BF5A95"/>
    <w:multiLevelType w:val="hybridMultilevel"/>
    <w:tmpl w:val="C29C5E24"/>
    <w:lvl w:ilvl="0" w:tplc="F598604A">
      <w:start w:val="1"/>
      <w:numFmt w:val="bullet"/>
      <w:lvlText w:val="•"/>
      <w:lvlJc w:val="left"/>
      <w:pPr>
        <w:tabs>
          <w:tab w:val="num" w:pos="720"/>
        </w:tabs>
        <w:ind w:left="720" w:hanging="360"/>
      </w:pPr>
      <w:rPr>
        <w:rFonts w:ascii="Arial" w:hAnsi="Arial" w:hint="default"/>
      </w:rPr>
    </w:lvl>
    <w:lvl w:ilvl="1" w:tplc="8988904E" w:tentative="1">
      <w:start w:val="1"/>
      <w:numFmt w:val="bullet"/>
      <w:lvlText w:val="•"/>
      <w:lvlJc w:val="left"/>
      <w:pPr>
        <w:tabs>
          <w:tab w:val="num" w:pos="1440"/>
        </w:tabs>
        <w:ind w:left="1440" w:hanging="360"/>
      </w:pPr>
      <w:rPr>
        <w:rFonts w:ascii="Arial" w:hAnsi="Arial" w:hint="default"/>
      </w:rPr>
    </w:lvl>
    <w:lvl w:ilvl="2" w:tplc="9AB69ECA" w:tentative="1">
      <w:start w:val="1"/>
      <w:numFmt w:val="bullet"/>
      <w:lvlText w:val="•"/>
      <w:lvlJc w:val="left"/>
      <w:pPr>
        <w:tabs>
          <w:tab w:val="num" w:pos="2160"/>
        </w:tabs>
        <w:ind w:left="2160" w:hanging="360"/>
      </w:pPr>
      <w:rPr>
        <w:rFonts w:ascii="Arial" w:hAnsi="Arial" w:hint="default"/>
      </w:rPr>
    </w:lvl>
    <w:lvl w:ilvl="3" w:tplc="376ED69A" w:tentative="1">
      <w:start w:val="1"/>
      <w:numFmt w:val="bullet"/>
      <w:lvlText w:val="•"/>
      <w:lvlJc w:val="left"/>
      <w:pPr>
        <w:tabs>
          <w:tab w:val="num" w:pos="2880"/>
        </w:tabs>
        <w:ind w:left="2880" w:hanging="360"/>
      </w:pPr>
      <w:rPr>
        <w:rFonts w:ascii="Arial" w:hAnsi="Arial" w:hint="default"/>
      </w:rPr>
    </w:lvl>
    <w:lvl w:ilvl="4" w:tplc="7B6A1648" w:tentative="1">
      <w:start w:val="1"/>
      <w:numFmt w:val="bullet"/>
      <w:lvlText w:val="•"/>
      <w:lvlJc w:val="left"/>
      <w:pPr>
        <w:tabs>
          <w:tab w:val="num" w:pos="3600"/>
        </w:tabs>
        <w:ind w:left="3600" w:hanging="360"/>
      </w:pPr>
      <w:rPr>
        <w:rFonts w:ascii="Arial" w:hAnsi="Arial" w:hint="default"/>
      </w:rPr>
    </w:lvl>
    <w:lvl w:ilvl="5" w:tplc="16D8E21C" w:tentative="1">
      <w:start w:val="1"/>
      <w:numFmt w:val="bullet"/>
      <w:lvlText w:val="•"/>
      <w:lvlJc w:val="left"/>
      <w:pPr>
        <w:tabs>
          <w:tab w:val="num" w:pos="4320"/>
        </w:tabs>
        <w:ind w:left="4320" w:hanging="360"/>
      </w:pPr>
      <w:rPr>
        <w:rFonts w:ascii="Arial" w:hAnsi="Arial" w:hint="default"/>
      </w:rPr>
    </w:lvl>
    <w:lvl w:ilvl="6" w:tplc="F4ACFB2E" w:tentative="1">
      <w:start w:val="1"/>
      <w:numFmt w:val="bullet"/>
      <w:lvlText w:val="•"/>
      <w:lvlJc w:val="left"/>
      <w:pPr>
        <w:tabs>
          <w:tab w:val="num" w:pos="5040"/>
        </w:tabs>
        <w:ind w:left="5040" w:hanging="360"/>
      </w:pPr>
      <w:rPr>
        <w:rFonts w:ascii="Arial" w:hAnsi="Arial" w:hint="default"/>
      </w:rPr>
    </w:lvl>
    <w:lvl w:ilvl="7" w:tplc="DF7AFC84" w:tentative="1">
      <w:start w:val="1"/>
      <w:numFmt w:val="bullet"/>
      <w:lvlText w:val="•"/>
      <w:lvlJc w:val="left"/>
      <w:pPr>
        <w:tabs>
          <w:tab w:val="num" w:pos="5760"/>
        </w:tabs>
        <w:ind w:left="5760" w:hanging="360"/>
      </w:pPr>
      <w:rPr>
        <w:rFonts w:ascii="Arial" w:hAnsi="Arial" w:hint="default"/>
      </w:rPr>
    </w:lvl>
    <w:lvl w:ilvl="8" w:tplc="F96C400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54357EA"/>
    <w:multiLevelType w:val="hybridMultilevel"/>
    <w:tmpl w:val="EDE61A62"/>
    <w:lvl w:ilvl="0" w:tplc="6CF0910C">
      <w:start w:val="1"/>
      <w:numFmt w:val="decimal"/>
      <w:lvlText w:val="%1."/>
      <w:lvlJc w:val="left"/>
      <w:pPr>
        <w:tabs>
          <w:tab w:val="num" w:pos="720"/>
        </w:tabs>
        <w:ind w:left="720" w:hanging="360"/>
      </w:pPr>
    </w:lvl>
    <w:lvl w:ilvl="1" w:tplc="1FB4C89E" w:tentative="1">
      <w:start w:val="1"/>
      <w:numFmt w:val="decimal"/>
      <w:lvlText w:val="%2."/>
      <w:lvlJc w:val="left"/>
      <w:pPr>
        <w:tabs>
          <w:tab w:val="num" w:pos="1440"/>
        </w:tabs>
        <w:ind w:left="1440" w:hanging="360"/>
      </w:pPr>
    </w:lvl>
    <w:lvl w:ilvl="2" w:tplc="DC184518" w:tentative="1">
      <w:start w:val="1"/>
      <w:numFmt w:val="decimal"/>
      <w:lvlText w:val="%3."/>
      <w:lvlJc w:val="left"/>
      <w:pPr>
        <w:tabs>
          <w:tab w:val="num" w:pos="2160"/>
        </w:tabs>
        <w:ind w:left="2160" w:hanging="360"/>
      </w:pPr>
    </w:lvl>
    <w:lvl w:ilvl="3" w:tplc="108294AA" w:tentative="1">
      <w:start w:val="1"/>
      <w:numFmt w:val="decimal"/>
      <w:lvlText w:val="%4."/>
      <w:lvlJc w:val="left"/>
      <w:pPr>
        <w:tabs>
          <w:tab w:val="num" w:pos="2880"/>
        </w:tabs>
        <w:ind w:left="2880" w:hanging="360"/>
      </w:pPr>
    </w:lvl>
    <w:lvl w:ilvl="4" w:tplc="AF5017A2" w:tentative="1">
      <w:start w:val="1"/>
      <w:numFmt w:val="decimal"/>
      <w:lvlText w:val="%5."/>
      <w:lvlJc w:val="left"/>
      <w:pPr>
        <w:tabs>
          <w:tab w:val="num" w:pos="3600"/>
        </w:tabs>
        <w:ind w:left="3600" w:hanging="360"/>
      </w:pPr>
    </w:lvl>
    <w:lvl w:ilvl="5" w:tplc="0E1A387E" w:tentative="1">
      <w:start w:val="1"/>
      <w:numFmt w:val="decimal"/>
      <w:lvlText w:val="%6."/>
      <w:lvlJc w:val="left"/>
      <w:pPr>
        <w:tabs>
          <w:tab w:val="num" w:pos="4320"/>
        </w:tabs>
        <w:ind w:left="4320" w:hanging="360"/>
      </w:pPr>
    </w:lvl>
    <w:lvl w:ilvl="6" w:tplc="C2F4B0AC" w:tentative="1">
      <w:start w:val="1"/>
      <w:numFmt w:val="decimal"/>
      <w:lvlText w:val="%7."/>
      <w:lvlJc w:val="left"/>
      <w:pPr>
        <w:tabs>
          <w:tab w:val="num" w:pos="5040"/>
        </w:tabs>
        <w:ind w:left="5040" w:hanging="360"/>
      </w:pPr>
    </w:lvl>
    <w:lvl w:ilvl="7" w:tplc="41CA7752" w:tentative="1">
      <w:start w:val="1"/>
      <w:numFmt w:val="decimal"/>
      <w:lvlText w:val="%8."/>
      <w:lvlJc w:val="left"/>
      <w:pPr>
        <w:tabs>
          <w:tab w:val="num" w:pos="5760"/>
        </w:tabs>
        <w:ind w:left="5760" w:hanging="360"/>
      </w:pPr>
    </w:lvl>
    <w:lvl w:ilvl="8" w:tplc="F64E9488" w:tentative="1">
      <w:start w:val="1"/>
      <w:numFmt w:val="decimal"/>
      <w:lvlText w:val="%9."/>
      <w:lvlJc w:val="left"/>
      <w:pPr>
        <w:tabs>
          <w:tab w:val="num" w:pos="6480"/>
        </w:tabs>
        <w:ind w:left="6480" w:hanging="360"/>
      </w:pPr>
    </w:lvl>
  </w:abstractNum>
  <w:abstractNum w:abstractNumId="23" w15:restartNumberingAfterBreak="0">
    <w:nsid w:val="46AB4821"/>
    <w:multiLevelType w:val="multilevel"/>
    <w:tmpl w:val="B1A44F74"/>
    <w:lvl w:ilvl="0">
      <w:start w:val="1"/>
      <w:numFmt w:val="upperLetter"/>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46AF627C"/>
    <w:multiLevelType w:val="hybridMultilevel"/>
    <w:tmpl w:val="0D6EA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484CC4"/>
    <w:multiLevelType w:val="hybridMultilevel"/>
    <w:tmpl w:val="891A2F6C"/>
    <w:lvl w:ilvl="0" w:tplc="88FC8EE0">
      <w:start w:val="1"/>
      <w:numFmt w:val="bullet"/>
      <w:lvlText w:val="•"/>
      <w:lvlJc w:val="left"/>
      <w:pPr>
        <w:tabs>
          <w:tab w:val="num" w:pos="720"/>
        </w:tabs>
        <w:ind w:left="720" w:hanging="360"/>
      </w:pPr>
      <w:rPr>
        <w:rFonts w:ascii="Arial" w:hAnsi="Arial" w:hint="default"/>
      </w:rPr>
    </w:lvl>
    <w:lvl w:ilvl="1" w:tplc="B3BA9A26" w:tentative="1">
      <w:start w:val="1"/>
      <w:numFmt w:val="bullet"/>
      <w:lvlText w:val="•"/>
      <w:lvlJc w:val="left"/>
      <w:pPr>
        <w:tabs>
          <w:tab w:val="num" w:pos="1440"/>
        </w:tabs>
        <w:ind w:left="1440" w:hanging="360"/>
      </w:pPr>
      <w:rPr>
        <w:rFonts w:ascii="Arial" w:hAnsi="Arial" w:hint="default"/>
      </w:rPr>
    </w:lvl>
    <w:lvl w:ilvl="2" w:tplc="34308E5E" w:tentative="1">
      <w:start w:val="1"/>
      <w:numFmt w:val="bullet"/>
      <w:lvlText w:val="•"/>
      <w:lvlJc w:val="left"/>
      <w:pPr>
        <w:tabs>
          <w:tab w:val="num" w:pos="2160"/>
        </w:tabs>
        <w:ind w:left="2160" w:hanging="360"/>
      </w:pPr>
      <w:rPr>
        <w:rFonts w:ascii="Arial" w:hAnsi="Arial" w:hint="default"/>
      </w:rPr>
    </w:lvl>
    <w:lvl w:ilvl="3" w:tplc="12C8E754" w:tentative="1">
      <w:start w:val="1"/>
      <w:numFmt w:val="bullet"/>
      <w:lvlText w:val="•"/>
      <w:lvlJc w:val="left"/>
      <w:pPr>
        <w:tabs>
          <w:tab w:val="num" w:pos="2880"/>
        </w:tabs>
        <w:ind w:left="2880" w:hanging="360"/>
      </w:pPr>
      <w:rPr>
        <w:rFonts w:ascii="Arial" w:hAnsi="Arial" w:hint="default"/>
      </w:rPr>
    </w:lvl>
    <w:lvl w:ilvl="4" w:tplc="2F16A998" w:tentative="1">
      <w:start w:val="1"/>
      <w:numFmt w:val="bullet"/>
      <w:lvlText w:val="•"/>
      <w:lvlJc w:val="left"/>
      <w:pPr>
        <w:tabs>
          <w:tab w:val="num" w:pos="3600"/>
        </w:tabs>
        <w:ind w:left="3600" w:hanging="360"/>
      </w:pPr>
      <w:rPr>
        <w:rFonts w:ascii="Arial" w:hAnsi="Arial" w:hint="default"/>
      </w:rPr>
    </w:lvl>
    <w:lvl w:ilvl="5" w:tplc="A40C12F0" w:tentative="1">
      <w:start w:val="1"/>
      <w:numFmt w:val="bullet"/>
      <w:lvlText w:val="•"/>
      <w:lvlJc w:val="left"/>
      <w:pPr>
        <w:tabs>
          <w:tab w:val="num" w:pos="4320"/>
        </w:tabs>
        <w:ind w:left="4320" w:hanging="360"/>
      </w:pPr>
      <w:rPr>
        <w:rFonts w:ascii="Arial" w:hAnsi="Arial" w:hint="default"/>
      </w:rPr>
    </w:lvl>
    <w:lvl w:ilvl="6" w:tplc="C1F44A80" w:tentative="1">
      <w:start w:val="1"/>
      <w:numFmt w:val="bullet"/>
      <w:lvlText w:val="•"/>
      <w:lvlJc w:val="left"/>
      <w:pPr>
        <w:tabs>
          <w:tab w:val="num" w:pos="5040"/>
        </w:tabs>
        <w:ind w:left="5040" w:hanging="360"/>
      </w:pPr>
      <w:rPr>
        <w:rFonts w:ascii="Arial" w:hAnsi="Arial" w:hint="default"/>
      </w:rPr>
    </w:lvl>
    <w:lvl w:ilvl="7" w:tplc="A216D21C" w:tentative="1">
      <w:start w:val="1"/>
      <w:numFmt w:val="bullet"/>
      <w:lvlText w:val="•"/>
      <w:lvlJc w:val="left"/>
      <w:pPr>
        <w:tabs>
          <w:tab w:val="num" w:pos="5760"/>
        </w:tabs>
        <w:ind w:left="5760" w:hanging="360"/>
      </w:pPr>
      <w:rPr>
        <w:rFonts w:ascii="Arial" w:hAnsi="Arial" w:hint="default"/>
      </w:rPr>
    </w:lvl>
    <w:lvl w:ilvl="8" w:tplc="0CA2FB1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1A3C36"/>
    <w:multiLevelType w:val="hybridMultilevel"/>
    <w:tmpl w:val="58D43BE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852B80"/>
    <w:multiLevelType w:val="hybridMultilevel"/>
    <w:tmpl w:val="15DCE296"/>
    <w:lvl w:ilvl="0" w:tplc="46B4E9DA">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670FBA"/>
    <w:multiLevelType w:val="hybridMultilevel"/>
    <w:tmpl w:val="FB3A7B0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F116137"/>
    <w:multiLevelType w:val="hybridMultilevel"/>
    <w:tmpl w:val="FFEA451C"/>
    <w:lvl w:ilvl="0" w:tplc="BBA8BC0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D0226"/>
    <w:multiLevelType w:val="multilevel"/>
    <w:tmpl w:val="258AA148"/>
    <w:lvl w:ilvl="0">
      <w:start w:val="1"/>
      <w:numFmt w:val="upperLetter"/>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62286E81"/>
    <w:multiLevelType w:val="hybridMultilevel"/>
    <w:tmpl w:val="42F04598"/>
    <w:lvl w:ilvl="0" w:tplc="53E2812C">
      <w:start w:val="1"/>
      <w:numFmt w:val="bullet"/>
      <w:lvlText w:val="•"/>
      <w:lvlJc w:val="left"/>
      <w:pPr>
        <w:tabs>
          <w:tab w:val="num" w:pos="720"/>
        </w:tabs>
        <w:ind w:left="720" w:hanging="360"/>
      </w:pPr>
      <w:rPr>
        <w:rFonts w:ascii="Arial" w:hAnsi="Arial" w:hint="default"/>
      </w:rPr>
    </w:lvl>
    <w:lvl w:ilvl="1" w:tplc="169A8F66" w:tentative="1">
      <w:start w:val="1"/>
      <w:numFmt w:val="bullet"/>
      <w:lvlText w:val="•"/>
      <w:lvlJc w:val="left"/>
      <w:pPr>
        <w:tabs>
          <w:tab w:val="num" w:pos="1440"/>
        </w:tabs>
        <w:ind w:left="1440" w:hanging="360"/>
      </w:pPr>
      <w:rPr>
        <w:rFonts w:ascii="Arial" w:hAnsi="Arial" w:hint="default"/>
      </w:rPr>
    </w:lvl>
    <w:lvl w:ilvl="2" w:tplc="D0E8FADA" w:tentative="1">
      <w:start w:val="1"/>
      <w:numFmt w:val="bullet"/>
      <w:lvlText w:val="•"/>
      <w:lvlJc w:val="left"/>
      <w:pPr>
        <w:tabs>
          <w:tab w:val="num" w:pos="2160"/>
        </w:tabs>
        <w:ind w:left="2160" w:hanging="360"/>
      </w:pPr>
      <w:rPr>
        <w:rFonts w:ascii="Arial" w:hAnsi="Arial" w:hint="default"/>
      </w:rPr>
    </w:lvl>
    <w:lvl w:ilvl="3" w:tplc="19D666A2" w:tentative="1">
      <w:start w:val="1"/>
      <w:numFmt w:val="bullet"/>
      <w:lvlText w:val="•"/>
      <w:lvlJc w:val="left"/>
      <w:pPr>
        <w:tabs>
          <w:tab w:val="num" w:pos="2880"/>
        </w:tabs>
        <w:ind w:left="2880" w:hanging="360"/>
      </w:pPr>
      <w:rPr>
        <w:rFonts w:ascii="Arial" w:hAnsi="Arial" w:hint="default"/>
      </w:rPr>
    </w:lvl>
    <w:lvl w:ilvl="4" w:tplc="B7605C32" w:tentative="1">
      <w:start w:val="1"/>
      <w:numFmt w:val="bullet"/>
      <w:lvlText w:val="•"/>
      <w:lvlJc w:val="left"/>
      <w:pPr>
        <w:tabs>
          <w:tab w:val="num" w:pos="3600"/>
        </w:tabs>
        <w:ind w:left="3600" w:hanging="360"/>
      </w:pPr>
      <w:rPr>
        <w:rFonts w:ascii="Arial" w:hAnsi="Arial" w:hint="default"/>
      </w:rPr>
    </w:lvl>
    <w:lvl w:ilvl="5" w:tplc="4E966432" w:tentative="1">
      <w:start w:val="1"/>
      <w:numFmt w:val="bullet"/>
      <w:lvlText w:val="•"/>
      <w:lvlJc w:val="left"/>
      <w:pPr>
        <w:tabs>
          <w:tab w:val="num" w:pos="4320"/>
        </w:tabs>
        <w:ind w:left="4320" w:hanging="360"/>
      </w:pPr>
      <w:rPr>
        <w:rFonts w:ascii="Arial" w:hAnsi="Arial" w:hint="default"/>
      </w:rPr>
    </w:lvl>
    <w:lvl w:ilvl="6" w:tplc="2B4079D8" w:tentative="1">
      <w:start w:val="1"/>
      <w:numFmt w:val="bullet"/>
      <w:lvlText w:val="•"/>
      <w:lvlJc w:val="left"/>
      <w:pPr>
        <w:tabs>
          <w:tab w:val="num" w:pos="5040"/>
        </w:tabs>
        <w:ind w:left="5040" w:hanging="360"/>
      </w:pPr>
      <w:rPr>
        <w:rFonts w:ascii="Arial" w:hAnsi="Arial" w:hint="default"/>
      </w:rPr>
    </w:lvl>
    <w:lvl w:ilvl="7" w:tplc="F70E8564" w:tentative="1">
      <w:start w:val="1"/>
      <w:numFmt w:val="bullet"/>
      <w:lvlText w:val="•"/>
      <w:lvlJc w:val="left"/>
      <w:pPr>
        <w:tabs>
          <w:tab w:val="num" w:pos="5760"/>
        </w:tabs>
        <w:ind w:left="5760" w:hanging="360"/>
      </w:pPr>
      <w:rPr>
        <w:rFonts w:ascii="Arial" w:hAnsi="Arial" w:hint="default"/>
      </w:rPr>
    </w:lvl>
    <w:lvl w:ilvl="8" w:tplc="B2D41FE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F56133"/>
    <w:multiLevelType w:val="hybridMultilevel"/>
    <w:tmpl w:val="95BAAD20"/>
    <w:lvl w:ilvl="0" w:tplc="DEE23E6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E85E5"/>
    <w:multiLevelType w:val="hybridMultilevel"/>
    <w:tmpl w:val="D3364A74"/>
    <w:lvl w:ilvl="0" w:tplc="B5667694">
      <w:start w:val="1"/>
      <w:numFmt w:val="bullet"/>
      <w:lvlText w:val=""/>
      <w:lvlJc w:val="left"/>
      <w:pPr>
        <w:ind w:left="720" w:hanging="360"/>
      </w:pPr>
      <w:rPr>
        <w:rFonts w:ascii="Symbol" w:hAnsi="Symbol" w:hint="default"/>
      </w:rPr>
    </w:lvl>
    <w:lvl w:ilvl="1" w:tplc="A3D49BA8">
      <w:start w:val="1"/>
      <w:numFmt w:val="bullet"/>
      <w:lvlText w:val=""/>
      <w:lvlJc w:val="left"/>
      <w:pPr>
        <w:ind w:left="1440" w:hanging="360"/>
      </w:pPr>
      <w:rPr>
        <w:rFonts w:ascii="Wingdings" w:hAnsi="Wingdings" w:hint="default"/>
      </w:rPr>
    </w:lvl>
    <w:lvl w:ilvl="2" w:tplc="F3FA7356">
      <w:start w:val="1"/>
      <w:numFmt w:val="bullet"/>
      <w:lvlText w:val=""/>
      <w:lvlJc w:val="left"/>
      <w:pPr>
        <w:ind w:left="2160" w:hanging="360"/>
      </w:pPr>
      <w:rPr>
        <w:rFonts w:ascii="Wingdings" w:hAnsi="Wingdings" w:hint="default"/>
      </w:rPr>
    </w:lvl>
    <w:lvl w:ilvl="3" w:tplc="14BE3A38">
      <w:start w:val="1"/>
      <w:numFmt w:val="bullet"/>
      <w:lvlText w:val=""/>
      <w:lvlJc w:val="left"/>
      <w:pPr>
        <w:ind w:left="2880" w:hanging="360"/>
      </w:pPr>
      <w:rPr>
        <w:rFonts w:ascii="Symbol" w:hAnsi="Symbol" w:hint="default"/>
      </w:rPr>
    </w:lvl>
    <w:lvl w:ilvl="4" w:tplc="FA26149E">
      <w:start w:val="1"/>
      <w:numFmt w:val="bullet"/>
      <w:lvlText w:val="o"/>
      <w:lvlJc w:val="left"/>
      <w:pPr>
        <w:ind w:left="3600" w:hanging="360"/>
      </w:pPr>
      <w:rPr>
        <w:rFonts w:ascii="Courier New" w:hAnsi="Courier New" w:hint="default"/>
      </w:rPr>
    </w:lvl>
    <w:lvl w:ilvl="5" w:tplc="669E543A">
      <w:start w:val="1"/>
      <w:numFmt w:val="bullet"/>
      <w:lvlText w:val=""/>
      <w:lvlJc w:val="left"/>
      <w:pPr>
        <w:ind w:left="4320" w:hanging="360"/>
      </w:pPr>
      <w:rPr>
        <w:rFonts w:ascii="Wingdings" w:hAnsi="Wingdings" w:hint="default"/>
      </w:rPr>
    </w:lvl>
    <w:lvl w:ilvl="6" w:tplc="97565B42">
      <w:start w:val="1"/>
      <w:numFmt w:val="bullet"/>
      <w:lvlText w:val=""/>
      <w:lvlJc w:val="left"/>
      <w:pPr>
        <w:ind w:left="5040" w:hanging="360"/>
      </w:pPr>
      <w:rPr>
        <w:rFonts w:ascii="Symbol" w:hAnsi="Symbol" w:hint="default"/>
      </w:rPr>
    </w:lvl>
    <w:lvl w:ilvl="7" w:tplc="4F24A234">
      <w:start w:val="1"/>
      <w:numFmt w:val="bullet"/>
      <w:lvlText w:val="o"/>
      <w:lvlJc w:val="left"/>
      <w:pPr>
        <w:ind w:left="5760" w:hanging="360"/>
      </w:pPr>
      <w:rPr>
        <w:rFonts w:ascii="Courier New" w:hAnsi="Courier New" w:hint="default"/>
      </w:rPr>
    </w:lvl>
    <w:lvl w:ilvl="8" w:tplc="0EA8C588">
      <w:start w:val="1"/>
      <w:numFmt w:val="bullet"/>
      <w:lvlText w:val=""/>
      <w:lvlJc w:val="left"/>
      <w:pPr>
        <w:ind w:left="6480" w:hanging="360"/>
      </w:pPr>
      <w:rPr>
        <w:rFonts w:ascii="Wingdings" w:hAnsi="Wingdings" w:hint="default"/>
      </w:rPr>
    </w:lvl>
  </w:abstractNum>
  <w:abstractNum w:abstractNumId="34" w15:restartNumberingAfterBreak="0">
    <w:nsid w:val="71576DF2"/>
    <w:multiLevelType w:val="hybridMultilevel"/>
    <w:tmpl w:val="3686402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29762C3"/>
    <w:multiLevelType w:val="hybridMultilevel"/>
    <w:tmpl w:val="CB5627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273491"/>
    <w:multiLevelType w:val="hybridMultilevel"/>
    <w:tmpl w:val="DEBEB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9304C7"/>
    <w:multiLevelType w:val="hybridMultilevel"/>
    <w:tmpl w:val="FAA8827E"/>
    <w:lvl w:ilvl="0" w:tplc="04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45530E"/>
    <w:multiLevelType w:val="hybridMultilevel"/>
    <w:tmpl w:val="985EF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585769">
    <w:abstractNumId w:val="33"/>
  </w:num>
  <w:num w:numId="2" w16cid:durableId="1019965896">
    <w:abstractNumId w:val="12"/>
  </w:num>
  <w:num w:numId="3" w16cid:durableId="428474444">
    <w:abstractNumId w:val="1"/>
  </w:num>
  <w:num w:numId="4" w16cid:durableId="1963530765">
    <w:abstractNumId w:val="9"/>
  </w:num>
  <w:num w:numId="5" w16cid:durableId="411439216">
    <w:abstractNumId w:val="0"/>
  </w:num>
  <w:num w:numId="6" w16cid:durableId="112136812">
    <w:abstractNumId w:val="21"/>
  </w:num>
  <w:num w:numId="7" w16cid:durableId="925187314">
    <w:abstractNumId w:val="26"/>
  </w:num>
  <w:num w:numId="8" w16cid:durableId="1910920610">
    <w:abstractNumId w:val="5"/>
  </w:num>
  <w:num w:numId="9" w16cid:durableId="825560666">
    <w:abstractNumId w:val="25"/>
  </w:num>
  <w:num w:numId="10" w16cid:durableId="1778140778">
    <w:abstractNumId w:val="19"/>
  </w:num>
  <w:num w:numId="11" w16cid:durableId="817771684">
    <w:abstractNumId w:val="6"/>
  </w:num>
  <w:num w:numId="12" w16cid:durableId="122239528">
    <w:abstractNumId w:val="38"/>
  </w:num>
  <w:num w:numId="13" w16cid:durableId="1412266235">
    <w:abstractNumId w:val="36"/>
  </w:num>
  <w:num w:numId="14" w16cid:durableId="1534805822">
    <w:abstractNumId w:val="2"/>
  </w:num>
  <w:num w:numId="15" w16cid:durableId="672343808">
    <w:abstractNumId w:val="34"/>
  </w:num>
  <w:num w:numId="16" w16cid:durableId="1118765766">
    <w:abstractNumId w:val="11"/>
  </w:num>
  <w:num w:numId="17" w16cid:durableId="2111466422">
    <w:abstractNumId w:val="13"/>
  </w:num>
  <w:num w:numId="18" w16cid:durableId="173374760">
    <w:abstractNumId w:val="14"/>
  </w:num>
  <w:num w:numId="19" w16cid:durableId="990910542">
    <w:abstractNumId w:val="8"/>
  </w:num>
  <w:num w:numId="20" w16cid:durableId="1647054648">
    <w:abstractNumId w:val="22"/>
  </w:num>
  <w:num w:numId="21" w16cid:durableId="1632709699">
    <w:abstractNumId w:val="31"/>
  </w:num>
  <w:num w:numId="22" w16cid:durableId="1622489396">
    <w:abstractNumId w:val="17"/>
  </w:num>
  <w:num w:numId="23" w16cid:durableId="504512189">
    <w:abstractNumId w:val="37"/>
  </w:num>
  <w:num w:numId="24" w16cid:durableId="1876575938">
    <w:abstractNumId w:val="20"/>
  </w:num>
  <w:num w:numId="25" w16cid:durableId="1202598444">
    <w:abstractNumId w:val="24"/>
  </w:num>
  <w:num w:numId="26" w16cid:durableId="1380133447">
    <w:abstractNumId w:val="7"/>
  </w:num>
  <w:num w:numId="27" w16cid:durableId="819805052">
    <w:abstractNumId w:val="18"/>
  </w:num>
  <w:num w:numId="28" w16cid:durableId="1996185626">
    <w:abstractNumId w:val="3"/>
  </w:num>
  <w:num w:numId="29" w16cid:durableId="1940215462">
    <w:abstractNumId w:val="28"/>
  </w:num>
  <w:num w:numId="30" w16cid:durableId="437137243">
    <w:abstractNumId w:val="15"/>
  </w:num>
  <w:num w:numId="31" w16cid:durableId="1389112508">
    <w:abstractNumId w:val="35"/>
  </w:num>
  <w:num w:numId="32" w16cid:durableId="1156918445">
    <w:abstractNumId w:val="10"/>
  </w:num>
  <w:num w:numId="33" w16cid:durableId="1683193482">
    <w:abstractNumId w:val="16"/>
  </w:num>
  <w:num w:numId="34" w16cid:durableId="1334914029">
    <w:abstractNumId w:val="23"/>
  </w:num>
  <w:num w:numId="35" w16cid:durableId="1527862847">
    <w:abstractNumId w:val="30"/>
  </w:num>
  <w:num w:numId="36" w16cid:durableId="1988581337">
    <w:abstractNumId w:val="29"/>
  </w:num>
  <w:num w:numId="37" w16cid:durableId="806780777">
    <w:abstractNumId w:val="27"/>
  </w:num>
  <w:num w:numId="38" w16cid:durableId="143468962">
    <w:abstractNumId w:val="32"/>
  </w:num>
  <w:num w:numId="39" w16cid:durableId="615061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2D"/>
    <w:rsid w:val="00000FEE"/>
    <w:rsid w:val="000024A7"/>
    <w:rsid w:val="00004CFE"/>
    <w:rsid w:val="0000607D"/>
    <w:rsid w:val="00006085"/>
    <w:rsid w:val="000110AB"/>
    <w:rsid w:val="00011586"/>
    <w:rsid w:val="000125BD"/>
    <w:rsid w:val="00014459"/>
    <w:rsid w:val="00016068"/>
    <w:rsid w:val="000165C7"/>
    <w:rsid w:val="000167E8"/>
    <w:rsid w:val="0001724D"/>
    <w:rsid w:val="0001742B"/>
    <w:rsid w:val="00020667"/>
    <w:rsid w:val="0002128B"/>
    <w:rsid w:val="000221EF"/>
    <w:rsid w:val="00023109"/>
    <w:rsid w:val="00023D1F"/>
    <w:rsid w:val="000241F5"/>
    <w:rsid w:val="00024AA0"/>
    <w:rsid w:val="00025453"/>
    <w:rsid w:val="00025678"/>
    <w:rsid w:val="000300AE"/>
    <w:rsid w:val="00030CE3"/>
    <w:rsid w:val="00030EBF"/>
    <w:rsid w:val="0003281D"/>
    <w:rsid w:val="0003327A"/>
    <w:rsid w:val="00033857"/>
    <w:rsid w:val="00033A94"/>
    <w:rsid w:val="00034256"/>
    <w:rsid w:val="0003437A"/>
    <w:rsid w:val="000343B1"/>
    <w:rsid w:val="00034695"/>
    <w:rsid w:val="00034B7F"/>
    <w:rsid w:val="00034FD3"/>
    <w:rsid w:val="0003592F"/>
    <w:rsid w:val="00036A18"/>
    <w:rsid w:val="0003759E"/>
    <w:rsid w:val="00040064"/>
    <w:rsid w:val="00040F11"/>
    <w:rsid w:val="00041B1F"/>
    <w:rsid w:val="00041B82"/>
    <w:rsid w:val="00044A06"/>
    <w:rsid w:val="00044BF8"/>
    <w:rsid w:val="00044C67"/>
    <w:rsid w:val="00044FBA"/>
    <w:rsid w:val="00046D48"/>
    <w:rsid w:val="000475E3"/>
    <w:rsid w:val="00047C60"/>
    <w:rsid w:val="000503A6"/>
    <w:rsid w:val="00050694"/>
    <w:rsid w:val="000513E8"/>
    <w:rsid w:val="00051661"/>
    <w:rsid w:val="00052AD0"/>
    <w:rsid w:val="00052F03"/>
    <w:rsid w:val="000549DA"/>
    <w:rsid w:val="00054F72"/>
    <w:rsid w:val="00055BBA"/>
    <w:rsid w:val="0005669F"/>
    <w:rsid w:val="00061820"/>
    <w:rsid w:val="000624F6"/>
    <w:rsid w:val="0006272F"/>
    <w:rsid w:val="000647C7"/>
    <w:rsid w:val="00064EB5"/>
    <w:rsid w:val="0006563F"/>
    <w:rsid w:val="00065C10"/>
    <w:rsid w:val="00066144"/>
    <w:rsid w:val="00066271"/>
    <w:rsid w:val="000663F8"/>
    <w:rsid w:val="00066EBD"/>
    <w:rsid w:val="00070F25"/>
    <w:rsid w:val="0007228A"/>
    <w:rsid w:val="000723D9"/>
    <w:rsid w:val="000726F1"/>
    <w:rsid w:val="00072D6D"/>
    <w:rsid w:val="000737ED"/>
    <w:rsid w:val="00074966"/>
    <w:rsid w:val="00076614"/>
    <w:rsid w:val="0007661B"/>
    <w:rsid w:val="0007663F"/>
    <w:rsid w:val="000769C8"/>
    <w:rsid w:val="0007718E"/>
    <w:rsid w:val="000778BE"/>
    <w:rsid w:val="0008035E"/>
    <w:rsid w:val="00081BF6"/>
    <w:rsid w:val="00081CFC"/>
    <w:rsid w:val="00081FE8"/>
    <w:rsid w:val="000835A3"/>
    <w:rsid w:val="00084B81"/>
    <w:rsid w:val="0008524A"/>
    <w:rsid w:val="00085A79"/>
    <w:rsid w:val="00087791"/>
    <w:rsid w:val="00087BBF"/>
    <w:rsid w:val="00091547"/>
    <w:rsid w:val="00092E13"/>
    <w:rsid w:val="00093621"/>
    <w:rsid w:val="00095519"/>
    <w:rsid w:val="00096ECA"/>
    <w:rsid w:val="0009755D"/>
    <w:rsid w:val="000A0314"/>
    <w:rsid w:val="000A19EF"/>
    <w:rsid w:val="000A23ED"/>
    <w:rsid w:val="000A3843"/>
    <w:rsid w:val="000A3F12"/>
    <w:rsid w:val="000A4B39"/>
    <w:rsid w:val="000A4B69"/>
    <w:rsid w:val="000A533F"/>
    <w:rsid w:val="000A59E7"/>
    <w:rsid w:val="000A5C44"/>
    <w:rsid w:val="000A614C"/>
    <w:rsid w:val="000A6437"/>
    <w:rsid w:val="000A6C1E"/>
    <w:rsid w:val="000A71D0"/>
    <w:rsid w:val="000A74E6"/>
    <w:rsid w:val="000A7736"/>
    <w:rsid w:val="000A7FF9"/>
    <w:rsid w:val="000B0466"/>
    <w:rsid w:val="000B048D"/>
    <w:rsid w:val="000B1CF5"/>
    <w:rsid w:val="000B1EC4"/>
    <w:rsid w:val="000B2028"/>
    <w:rsid w:val="000B20B0"/>
    <w:rsid w:val="000B38D2"/>
    <w:rsid w:val="000B4B52"/>
    <w:rsid w:val="000B5896"/>
    <w:rsid w:val="000B63CF"/>
    <w:rsid w:val="000C0729"/>
    <w:rsid w:val="000C0878"/>
    <w:rsid w:val="000C3824"/>
    <w:rsid w:val="000C3886"/>
    <w:rsid w:val="000C7001"/>
    <w:rsid w:val="000C7BAC"/>
    <w:rsid w:val="000D02B1"/>
    <w:rsid w:val="000D1733"/>
    <w:rsid w:val="000D2353"/>
    <w:rsid w:val="000D2452"/>
    <w:rsid w:val="000D253E"/>
    <w:rsid w:val="000D2F82"/>
    <w:rsid w:val="000D335A"/>
    <w:rsid w:val="000D35F9"/>
    <w:rsid w:val="000D3AEF"/>
    <w:rsid w:val="000D3F46"/>
    <w:rsid w:val="000D428D"/>
    <w:rsid w:val="000D483E"/>
    <w:rsid w:val="000D4841"/>
    <w:rsid w:val="000D5428"/>
    <w:rsid w:val="000D5574"/>
    <w:rsid w:val="000D608F"/>
    <w:rsid w:val="000E05CE"/>
    <w:rsid w:val="000E167C"/>
    <w:rsid w:val="000E2404"/>
    <w:rsid w:val="000E2C42"/>
    <w:rsid w:val="000E36B0"/>
    <w:rsid w:val="000E3F47"/>
    <w:rsid w:val="000E4426"/>
    <w:rsid w:val="000E52AB"/>
    <w:rsid w:val="000E563F"/>
    <w:rsid w:val="000E5A7B"/>
    <w:rsid w:val="000E5C56"/>
    <w:rsid w:val="000E5D64"/>
    <w:rsid w:val="000E61AB"/>
    <w:rsid w:val="000F0200"/>
    <w:rsid w:val="000F041A"/>
    <w:rsid w:val="000F0A1C"/>
    <w:rsid w:val="000F0CF5"/>
    <w:rsid w:val="000F1162"/>
    <w:rsid w:val="000F1666"/>
    <w:rsid w:val="000F1969"/>
    <w:rsid w:val="000F196D"/>
    <w:rsid w:val="000F199D"/>
    <w:rsid w:val="000F3B7F"/>
    <w:rsid w:val="000F4F1F"/>
    <w:rsid w:val="000F5260"/>
    <w:rsid w:val="000F5F56"/>
    <w:rsid w:val="000F7FD7"/>
    <w:rsid w:val="001002C5"/>
    <w:rsid w:val="00100FC5"/>
    <w:rsid w:val="0010163F"/>
    <w:rsid w:val="00103870"/>
    <w:rsid w:val="001055D8"/>
    <w:rsid w:val="00105AC1"/>
    <w:rsid w:val="00105C10"/>
    <w:rsid w:val="00105F2D"/>
    <w:rsid w:val="00106508"/>
    <w:rsid w:val="00106A49"/>
    <w:rsid w:val="00106BE7"/>
    <w:rsid w:val="00107267"/>
    <w:rsid w:val="0011096C"/>
    <w:rsid w:val="00110AD3"/>
    <w:rsid w:val="00110B93"/>
    <w:rsid w:val="0011124C"/>
    <w:rsid w:val="0011264F"/>
    <w:rsid w:val="00112905"/>
    <w:rsid w:val="00112F23"/>
    <w:rsid w:val="00113C64"/>
    <w:rsid w:val="00114691"/>
    <w:rsid w:val="00114821"/>
    <w:rsid w:val="00115FD7"/>
    <w:rsid w:val="00117507"/>
    <w:rsid w:val="00120936"/>
    <w:rsid w:val="00121AE6"/>
    <w:rsid w:val="001262FA"/>
    <w:rsid w:val="001263B2"/>
    <w:rsid w:val="001263D6"/>
    <w:rsid w:val="00127E20"/>
    <w:rsid w:val="001302E7"/>
    <w:rsid w:val="00130A01"/>
    <w:rsid w:val="0013169A"/>
    <w:rsid w:val="00131947"/>
    <w:rsid w:val="00131AA4"/>
    <w:rsid w:val="00132D83"/>
    <w:rsid w:val="00133E8B"/>
    <w:rsid w:val="00134805"/>
    <w:rsid w:val="00134D86"/>
    <w:rsid w:val="00134EEA"/>
    <w:rsid w:val="001356CD"/>
    <w:rsid w:val="00136249"/>
    <w:rsid w:val="001369BA"/>
    <w:rsid w:val="0013791C"/>
    <w:rsid w:val="0014176E"/>
    <w:rsid w:val="00141868"/>
    <w:rsid w:val="00141B01"/>
    <w:rsid w:val="001425D9"/>
    <w:rsid w:val="00142B24"/>
    <w:rsid w:val="0014346F"/>
    <w:rsid w:val="00146CD0"/>
    <w:rsid w:val="00147F70"/>
    <w:rsid w:val="001500DC"/>
    <w:rsid w:val="0015148F"/>
    <w:rsid w:val="00151CA5"/>
    <w:rsid w:val="00152032"/>
    <w:rsid w:val="00152B39"/>
    <w:rsid w:val="0015317C"/>
    <w:rsid w:val="0015325F"/>
    <w:rsid w:val="0015524B"/>
    <w:rsid w:val="00156A5A"/>
    <w:rsid w:val="00156F75"/>
    <w:rsid w:val="001575F6"/>
    <w:rsid w:val="00157F02"/>
    <w:rsid w:val="00160921"/>
    <w:rsid w:val="00160FB8"/>
    <w:rsid w:val="00161A6B"/>
    <w:rsid w:val="00162287"/>
    <w:rsid w:val="00164542"/>
    <w:rsid w:val="00164711"/>
    <w:rsid w:val="0016488F"/>
    <w:rsid w:val="00165503"/>
    <w:rsid w:val="00170D16"/>
    <w:rsid w:val="00170DB7"/>
    <w:rsid w:val="00171081"/>
    <w:rsid w:val="00171102"/>
    <w:rsid w:val="001717B1"/>
    <w:rsid w:val="00172D79"/>
    <w:rsid w:val="00174079"/>
    <w:rsid w:val="001741C6"/>
    <w:rsid w:val="001749E0"/>
    <w:rsid w:val="00174C98"/>
    <w:rsid w:val="00175AC1"/>
    <w:rsid w:val="00176309"/>
    <w:rsid w:val="00177184"/>
    <w:rsid w:val="00177330"/>
    <w:rsid w:val="00182538"/>
    <w:rsid w:val="001825BB"/>
    <w:rsid w:val="00182707"/>
    <w:rsid w:val="00182872"/>
    <w:rsid w:val="00182B43"/>
    <w:rsid w:val="00182F2F"/>
    <w:rsid w:val="001833B1"/>
    <w:rsid w:val="001834C6"/>
    <w:rsid w:val="001836BD"/>
    <w:rsid w:val="00183A16"/>
    <w:rsid w:val="001841DF"/>
    <w:rsid w:val="00184459"/>
    <w:rsid w:val="0018490C"/>
    <w:rsid w:val="00184F50"/>
    <w:rsid w:val="001855B8"/>
    <w:rsid w:val="00185E56"/>
    <w:rsid w:val="001860C5"/>
    <w:rsid w:val="00186A30"/>
    <w:rsid w:val="00190A8F"/>
    <w:rsid w:val="00190C84"/>
    <w:rsid w:val="0019341D"/>
    <w:rsid w:val="00193E68"/>
    <w:rsid w:val="00194A76"/>
    <w:rsid w:val="00194B0A"/>
    <w:rsid w:val="00194E25"/>
    <w:rsid w:val="00195585"/>
    <w:rsid w:val="00197E28"/>
    <w:rsid w:val="001A0002"/>
    <w:rsid w:val="001A1D8F"/>
    <w:rsid w:val="001A27AC"/>
    <w:rsid w:val="001A30EC"/>
    <w:rsid w:val="001A44DE"/>
    <w:rsid w:val="001A46A6"/>
    <w:rsid w:val="001A6986"/>
    <w:rsid w:val="001A78CB"/>
    <w:rsid w:val="001B3588"/>
    <w:rsid w:val="001B36E2"/>
    <w:rsid w:val="001B416A"/>
    <w:rsid w:val="001B47DE"/>
    <w:rsid w:val="001B4D1B"/>
    <w:rsid w:val="001B4D43"/>
    <w:rsid w:val="001B6452"/>
    <w:rsid w:val="001B66F0"/>
    <w:rsid w:val="001B6868"/>
    <w:rsid w:val="001B69B7"/>
    <w:rsid w:val="001C046B"/>
    <w:rsid w:val="001C1D28"/>
    <w:rsid w:val="001C261E"/>
    <w:rsid w:val="001C3091"/>
    <w:rsid w:val="001C3929"/>
    <w:rsid w:val="001C3BC3"/>
    <w:rsid w:val="001C42FD"/>
    <w:rsid w:val="001C435D"/>
    <w:rsid w:val="001C4AFA"/>
    <w:rsid w:val="001C56D0"/>
    <w:rsid w:val="001C6D3B"/>
    <w:rsid w:val="001C74A5"/>
    <w:rsid w:val="001C77D4"/>
    <w:rsid w:val="001D2410"/>
    <w:rsid w:val="001D2B6A"/>
    <w:rsid w:val="001D3B5D"/>
    <w:rsid w:val="001D3BA8"/>
    <w:rsid w:val="001D4532"/>
    <w:rsid w:val="001D5C58"/>
    <w:rsid w:val="001D60B5"/>
    <w:rsid w:val="001D6D95"/>
    <w:rsid w:val="001D7587"/>
    <w:rsid w:val="001D7C88"/>
    <w:rsid w:val="001E0316"/>
    <w:rsid w:val="001E066F"/>
    <w:rsid w:val="001E1CA1"/>
    <w:rsid w:val="001E372D"/>
    <w:rsid w:val="001E5E74"/>
    <w:rsid w:val="001E65DE"/>
    <w:rsid w:val="001E76E6"/>
    <w:rsid w:val="001F02B4"/>
    <w:rsid w:val="001F0552"/>
    <w:rsid w:val="001F0DB2"/>
    <w:rsid w:val="001F2630"/>
    <w:rsid w:val="001F2E81"/>
    <w:rsid w:val="001F5BEC"/>
    <w:rsid w:val="001F6F12"/>
    <w:rsid w:val="001F7939"/>
    <w:rsid w:val="001F7A17"/>
    <w:rsid w:val="00200062"/>
    <w:rsid w:val="00200EF0"/>
    <w:rsid w:val="00201B7A"/>
    <w:rsid w:val="00203585"/>
    <w:rsid w:val="00203AD6"/>
    <w:rsid w:val="00204AAD"/>
    <w:rsid w:val="00205632"/>
    <w:rsid w:val="0020570B"/>
    <w:rsid w:val="00206361"/>
    <w:rsid w:val="00206E74"/>
    <w:rsid w:val="0020753A"/>
    <w:rsid w:val="002076CA"/>
    <w:rsid w:val="00207E75"/>
    <w:rsid w:val="00210843"/>
    <w:rsid w:val="002110C9"/>
    <w:rsid w:val="00211979"/>
    <w:rsid w:val="00212521"/>
    <w:rsid w:val="002153C4"/>
    <w:rsid w:val="002158A4"/>
    <w:rsid w:val="0021705D"/>
    <w:rsid w:val="002179F8"/>
    <w:rsid w:val="00220276"/>
    <w:rsid w:val="00220F65"/>
    <w:rsid w:val="0022178C"/>
    <w:rsid w:val="00221AB5"/>
    <w:rsid w:val="002230EA"/>
    <w:rsid w:val="00224973"/>
    <w:rsid w:val="002256FA"/>
    <w:rsid w:val="00225AD8"/>
    <w:rsid w:val="00226013"/>
    <w:rsid w:val="00226BB5"/>
    <w:rsid w:val="0022712F"/>
    <w:rsid w:val="00230BD6"/>
    <w:rsid w:val="00230F0F"/>
    <w:rsid w:val="00231364"/>
    <w:rsid w:val="002317EE"/>
    <w:rsid w:val="00232672"/>
    <w:rsid w:val="00233834"/>
    <w:rsid w:val="002348C1"/>
    <w:rsid w:val="00237026"/>
    <w:rsid w:val="00237F1A"/>
    <w:rsid w:val="0024176C"/>
    <w:rsid w:val="0024261F"/>
    <w:rsid w:val="00242BF1"/>
    <w:rsid w:val="00242FB8"/>
    <w:rsid w:val="00243D9C"/>
    <w:rsid w:val="00244E35"/>
    <w:rsid w:val="00245DA2"/>
    <w:rsid w:val="00245FE8"/>
    <w:rsid w:val="00246455"/>
    <w:rsid w:val="00247508"/>
    <w:rsid w:val="0025026A"/>
    <w:rsid w:val="002508FE"/>
    <w:rsid w:val="00252F94"/>
    <w:rsid w:val="002534B1"/>
    <w:rsid w:val="00253EA6"/>
    <w:rsid w:val="00254E66"/>
    <w:rsid w:val="002554C4"/>
    <w:rsid w:val="002560C8"/>
    <w:rsid w:val="002573B4"/>
    <w:rsid w:val="00257F46"/>
    <w:rsid w:val="002607EF"/>
    <w:rsid w:val="00260FBE"/>
    <w:rsid w:val="0026272C"/>
    <w:rsid w:val="00262D7B"/>
    <w:rsid w:val="00262E13"/>
    <w:rsid w:val="00264508"/>
    <w:rsid w:val="0026606A"/>
    <w:rsid w:val="00267D7D"/>
    <w:rsid w:val="002713EF"/>
    <w:rsid w:val="002719A4"/>
    <w:rsid w:val="00273042"/>
    <w:rsid w:val="002731DB"/>
    <w:rsid w:val="00273BBB"/>
    <w:rsid w:val="00273D0D"/>
    <w:rsid w:val="00274F72"/>
    <w:rsid w:val="0027773D"/>
    <w:rsid w:val="00277B2D"/>
    <w:rsid w:val="002809B4"/>
    <w:rsid w:val="00281BB5"/>
    <w:rsid w:val="00281F36"/>
    <w:rsid w:val="00282307"/>
    <w:rsid w:val="0028274B"/>
    <w:rsid w:val="00282874"/>
    <w:rsid w:val="00282B1D"/>
    <w:rsid w:val="00282F70"/>
    <w:rsid w:val="00282FFD"/>
    <w:rsid w:val="0028326B"/>
    <w:rsid w:val="0028335C"/>
    <w:rsid w:val="00283651"/>
    <w:rsid w:val="00283D14"/>
    <w:rsid w:val="00284582"/>
    <w:rsid w:val="00284875"/>
    <w:rsid w:val="00284C72"/>
    <w:rsid w:val="002850A8"/>
    <w:rsid w:val="00286746"/>
    <w:rsid w:val="00287812"/>
    <w:rsid w:val="002904E2"/>
    <w:rsid w:val="002908C9"/>
    <w:rsid w:val="00292551"/>
    <w:rsid w:val="00293293"/>
    <w:rsid w:val="002934B2"/>
    <w:rsid w:val="00294A0A"/>
    <w:rsid w:val="0029504F"/>
    <w:rsid w:val="00295BEF"/>
    <w:rsid w:val="00295C5B"/>
    <w:rsid w:val="0029679F"/>
    <w:rsid w:val="0029681D"/>
    <w:rsid w:val="002971A3"/>
    <w:rsid w:val="002A1CF7"/>
    <w:rsid w:val="002A1E9F"/>
    <w:rsid w:val="002A2179"/>
    <w:rsid w:val="002A3265"/>
    <w:rsid w:val="002A33EA"/>
    <w:rsid w:val="002A3AF6"/>
    <w:rsid w:val="002A3BE3"/>
    <w:rsid w:val="002A4459"/>
    <w:rsid w:val="002A48E3"/>
    <w:rsid w:val="002A51CD"/>
    <w:rsid w:val="002A5C12"/>
    <w:rsid w:val="002A6A4A"/>
    <w:rsid w:val="002A7BF9"/>
    <w:rsid w:val="002B12E0"/>
    <w:rsid w:val="002B1C32"/>
    <w:rsid w:val="002B417D"/>
    <w:rsid w:val="002B4216"/>
    <w:rsid w:val="002B4CB6"/>
    <w:rsid w:val="002B5E41"/>
    <w:rsid w:val="002B630D"/>
    <w:rsid w:val="002B7AE1"/>
    <w:rsid w:val="002C1EDD"/>
    <w:rsid w:val="002C2D0F"/>
    <w:rsid w:val="002C31CE"/>
    <w:rsid w:val="002C3D95"/>
    <w:rsid w:val="002C4FB2"/>
    <w:rsid w:val="002C50A1"/>
    <w:rsid w:val="002C722E"/>
    <w:rsid w:val="002C7325"/>
    <w:rsid w:val="002C747F"/>
    <w:rsid w:val="002D1CDE"/>
    <w:rsid w:val="002D2E76"/>
    <w:rsid w:val="002D324D"/>
    <w:rsid w:val="002D34FB"/>
    <w:rsid w:val="002D3DC2"/>
    <w:rsid w:val="002D408A"/>
    <w:rsid w:val="002D45B9"/>
    <w:rsid w:val="002D4D89"/>
    <w:rsid w:val="002D5270"/>
    <w:rsid w:val="002D57E9"/>
    <w:rsid w:val="002D718A"/>
    <w:rsid w:val="002E04B2"/>
    <w:rsid w:val="002E138D"/>
    <w:rsid w:val="002E1F71"/>
    <w:rsid w:val="002E2764"/>
    <w:rsid w:val="002E3D32"/>
    <w:rsid w:val="002E6238"/>
    <w:rsid w:val="002E727C"/>
    <w:rsid w:val="002F00CD"/>
    <w:rsid w:val="002F1503"/>
    <w:rsid w:val="002F16B5"/>
    <w:rsid w:val="002F259D"/>
    <w:rsid w:val="002F2FD1"/>
    <w:rsid w:val="002F31BE"/>
    <w:rsid w:val="002F4413"/>
    <w:rsid w:val="002F4C99"/>
    <w:rsid w:val="002F536D"/>
    <w:rsid w:val="002F58CD"/>
    <w:rsid w:val="002F74C3"/>
    <w:rsid w:val="00301174"/>
    <w:rsid w:val="003013CE"/>
    <w:rsid w:val="003018AF"/>
    <w:rsid w:val="0030317C"/>
    <w:rsid w:val="003038C0"/>
    <w:rsid w:val="003041D9"/>
    <w:rsid w:val="0030490A"/>
    <w:rsid w:val="0030609D"/>
    <w:rsid w:val="00306B69"/>
    <w:rsid w:val="00306E81"/>
    <w:rsid w:val="00306FCE"/>
    <w:rsid w:val="00310F81"/>
    <w:rsid w:val="00311AF4"/>
    <w:rsid w:val="00311E8B"/>
    <w:rsid w:val="003125F8"/>
    <w:rsid w:val="0031265E"/>
    <w:rsid w:val="00312BFE"/>
    <w:rsid w:val="00312D2E"/>
    <w:rsid w:val="00313652"/>
    <w:rsid w:val="00313872"/>
    <w:rsid w:val="003173AC"/>
    <w:rsid w:val="00322F82"/>
    <w:rsid w:val="0032661A"/>
    <w:rsid w:val="003279E8"/>
    <w:rsid w:val="003305B0"/>
    <w:rsid w:val="003305F9"/>
    <w:rsid w:val="00330A7A"/>
    <w:rsid w:val="00330E9E"/>
    <w:rsid w:val="00331934"/>
    <w:rsid w:val="0033268D"/>
    <w:rsid w:val="003344D8"/>
    <w:rsid w:val="003348A3"/>
    <w:rsid w:val="00334DD5"/>
    <w:rsid w:val="00336BF7"/>
    <w:rsid w:val="00336D0B"/>
    <w:rsid w:val="003370C9"/>
    <w:rsid w:val="00337B1D"/>
    <w:rsid w:val="00340863"/>
    <w:rsid w:val="00340C0A"/>
    <w:rsid w:val="00341B0A"/>
    <w:rsid w:val="00341C30"/>
    <w:rsid w:val="00342D31"/>
    <w:rsid w:val="003435D1"/>
    <w:rsid w:val="0034384E"/>
    <w:rsid w:val="00343959"/>
    <w:rsid w:val="0034495E"/>
    <w:rsid w:val="00344970"/>
    <w:rsid w:val="00344ABE"/>
    <w:rsid w:val="003459BC"/>
    <w:rsid w:val="00345C4F"/>
    <w:rsid w:val="0034652E"/>
    <w:rsid w:val="003466FF"/>
    <w:rsid w:val="003509CE"/>
    <w:rsid w:val="003511E7"/>
    <w:rsid w:val="0035125A"/>
    <w:rsid w:val="003519A3"/>
    <w:rsid w:val="003524BB"/>
    <w:rsid w:val="00353E85"/>
    <w:rsid w:val="00354184"/>
    <w:rsid w:val="0035657E"/>
    <w:rsid w:val="00357292"/>
    <w:rsid w:val="00357BC1"/>
    <w:rsid w:val="003614D8"/>
    <w:rsid w:val="00362713"/>
    <w:rsid w:val="00362EB4"/>
    <w:rsid w:val="003633D7"/>
    <w:rsid w:val="00364161"/>
    <w:rsid w:val="00364777"/>
    <w:rsid w:val="00364DF6"/>
    <w:rsid w:val="003658AE"/>
    <w:rsid w:val="003724D7"/>
    <w:rsid w:val="003734B3"/>
    <w:rsid w:val="00373BD1"/>
    <w:rsid w:val="003751C2"/>
    <w:rsid w:val="0037546F"/>
    <w:rsid w:val="00375BFD"/>
    <w:rsid w:val="00375E17"/>
    <w:rsid w:val="00375E43"/>
    <w:rsid w:val="00376922"/>
    <w:rsid w:val="00376F27"/>
    <w:rsid w:val="00377D69"/>
    <w:rsid w:val="0038064A"/>
    <w:rsid w:val="003812BC"/>
    <w:rsid w:val="0038148C"/>
    <w:rsid w:val="00381AD3"/>
    <w:rsid w:val="003821E9"/>
    <w:rsid w:val="00382EAA"/>
    <w:rsid w:val="0038300A"/>
    <w:rsid w:val="0038427A"/>
    <w:rsid w:val="003858D4"/>
    <w:rsid w:val="00385EF8"/>
    <w:rsid w:val="00387587"/>
    <w:rsid w:val="00387891"/>
    <w:rsid w:val="00390EC8"/>
    <w:rsid w:val="003910B0"/>
    <w:rsid w:val="00391427"/>
    <w:rsid w:val="003923FE"/>
    <w:rsid w:val="0039244D"/>
    <w:rsid w:val="003931F5"/>
    <w:rsid w:val="00394588"/>
    <w:rsid w:val="00395028"/>
    <w:rsid w:val="003954A0"/>
    <w:rsid w:val="00395ED2"/>
    <w:rsid w:val="00395FDA"/>
    <w:rsid w:val="0039700F"/>
    <w:rsid w:val="00397E96"/>
    <w:rsid w:val="003A0B3D"/>
    <w:rsid w:val="003A0C88"/>
    <w:rsid w:val="003A2957"/>
    <w:rsid w:val="003A59F8"/>
    <w:rsid w:val="003A730E"/>
    <w:rsid w:val="003B0478"/>
    <w:rsid w:val="003B2126"/>
    <w:rsid w:val="003B3549"/>
    <w:rsid w:val="003B3705"/>
    <w:rsid w:val="003B37F6"/>
    <w:rsid w:val="003B37F9"/>
    <w:rsid w:val="003B501E"/>
    <w:rsid w:val="003B5723"/>
    <w:rsid w:val="003B595C"/>
    <w:rsid w:val="003B62C0"/>
    <w:rsid w:val="003B66E8"/>
    <w:rsid w:val="003B75C3"/>
    <w:rsid w:val="003C1E96"/>
    <w:rsid w:val="003C353C"/>
    <w:rsid w:val="003C4934"/>
    <w:rsid w:val="003C4A4B"/>
    <w:rsid w:val="003C7557"/>
    <w:rsid w:val="003C7594"/>
    <w:rsid w:val="003C763C"/>
    <w:rsid w:val="003D0C8C"/>
    <w:rsid w:val="003D1473"/>
    <w:rsid w:val="003D1747"/>
    <w:rsid w:val="003D17A3"/>
    <w:rsid w:val="003D3B9E"/>
    <w:rsid w:val="003D434D"/>
    <w:rsid w:val="003D4558"/>
    <w:rsid w:val="003D5D41"/>
    <w:rsid w:val="003D7269"/>
    <w:rsid w:val="003E0BE0"/>
    <w:rsid w:val="003E0FA3"/>
    <w:rsid w:val="003E16D8"/>
    <w:rsid w:val="003E1783"/>
    <w:rsid w:val="003E2932"/>
    <w:rsid w:val="003E323D"/>
    <w:rsid w:val="003E549F"/>
    <w:rsid w:val="003E64FF"/>
    <w:rsid w:val="003E6C78"/>
    <w:rsid w:val="003F0D88"/>
    <w:rsid w:val="003F1B84"/>
    <w:rsid w:val="003F2049"/>
    <w:rsid w:val="003F2759"/>
    <w:rsid w:val="003F2FFB"/>
    <w:rsid w:val="003F3D21"/>
    <w:rsid w:val="003F4631"/>
    <w:rsid w:val="003F49F5"/>
    <w:rsid w:val="003F5A53"/>
    <w:rsid w:val="003F5BB1"/>
    <w:rsid w:val="003F6042"/>
    <w:rsid w:val="003F6BEF"/>
    <w:rsid w:val="003F6F2B"/>
    <w:rsid w:val="003F7260"/>
    <w:rsid w:val="003F7431"/>
    <w:rsid w:val="003F7C0E"/>
    <w:rsid w:val="003F7CA4"/>
    <w:rsid w:val="004023E9"/>
    <w:rsid w:val="0040374B"/>
    <w:rsid w:val="0040455E"/>
    <w:rsid w:val="00404E18"/>
    <w:rsid w:val="00405ACF"/>
    <w:rsid w:val="00410623"/>
    <w:rsid w:val="00410922"/>
    <w:rsid w:val="00410B71"/>
    <w:rsid w:val="00411DC4"/>
    <w:rsid w:val="004120EF"/>
    <w:rsid w:val="00412BDE"/>
    <w:rsid w:val="00415C92"/>
    <w:rsid w:val="004173BB"/>
    <w:rsid w:val="00417BF1"/>
    <w:rsid w:val="0042039C"/>
    <w:rsid w:val="0042110B"/>
    <w:rsid w:val="00422107"/>
    <w:rsid w:val="00422FCC"/>
    <w:rsid w:val="0042408D"/>
    <w:rsid w:val="00424444"/>
    <w:rsid w:val="00424D72"/>
    <w:rsid w:val="00425137"/>
    <w:rsid w:val="00427A2B"/>
    <w:rsid w:val="00427B2E"/>
    <w:rsid w:val="00427D82"/>
    <w:rsid w:val="00427E75"/>
    <w:rsid w:val="004307E1"/>
    <w:rsid w:val="00432125"/>
    <w:rsid w:val="0043298C"/>
    <w:rsid w:val="00432C7B"/>
    <w:rsid w:val="004343C6"/>
    <w:rsid w:val="00434E35"/>
    <w:rsid w:val="00435DE3"/>
    <w:rsid w:val="00436AC2"/>
    <w:rsid w:val="004378BA"/>
    <w:rsid w:val="00437B5D"/>
    <w:rsid w:val="00440CAE"/>
    <w:rsid w:val="00441D27"/>
    <w:rsid w:val="00442EC7"/>
    <w:rsid w:val="00443147"/>
    <w:rsid w:val="004438C8"/>
    <w:rsid w:val="0044497A"/>
    <w:rsid w:val="00444EA8"/>
    <w:rsid w:val="00445A50"/>
    <w:rsid w:val="004460E2"/>
    <w:rsid w:val="004467FA"/>
    <w:rsid w:val="00446DE2"/>
    <w:rsid w:val="00447344"/>
    <w:rsid w:val="004473C9"/>
    <w:rsid w:val="00450AAD"/>
    <w:rsid w:val="00450C44"/>
    <w:rsid w:val="00452CE2"/>
    <w:rsid w:val="0045353D"/>
    <w:rsid w:val="00453CC2"/>
    <w:rsid w:val="00454C14"/>
    <w:rsid w:val="004552FD"/>
    <w:rsid w:val="00455624"/>
    <w:rsid w:val="00456DC6"/>
    <w:rsid w:val="0045777D"/>
    <w:rsid w:val="00457DB0"/>
    <w:rsid w:val="00460595"/>
    <w:rsid w:val="00460D49"/>
    <w:rsid w:val="00461809"/>
    <w:rsid w:val="004619D7"/>
    <w:rsid w:val="004646BF"/>
    <w:rsid w:val="00464F12"/>
    <w:rsid w:val="00465435"/>
    <w:rsid w:val="00465C64"/>
    <w:rsid w:val="00466BFC"/>
    <w:rsid w:val="00474FAB"/>
    <w:rsid w:val="00475D19"/>
    <w:rsid w:val="00477FED"/>
    <w:rsid w:val="00480795"/>
    <w:rsid w:val="00480AB0"/>
    <w:rsid w:val="00482E36"/>
    <w:rsid w:val="00483805"/>
    <w:rsid w:val="00483982"/>
    <w:rsid w:val="00485B81"/>
    <w:rsid w:val="00485E7E"/>
    <w:rsid w:val="004902D8"/>
    <w:rsid w:val="00490F67"/>
    <w:rsid w:val="00491AC4"/>
    <w:rsid w:val="00492A98"/>
    <w:rsid w:val="00492AAC"/>
    <w:rsid w:val="00493044"/>
    <w:rsid w:val="004934A9"/>
    <w:rsid w:val="004937B8"/>
    <w:rsid w:val="0049410F"/>
    <w:rsid w:val="004949AA"/>
    <w:rsid w:val="00494E3E"/>
    <w:rsid w:val="0049537C"/>
    <w:rsid w:val="0049583F"/>
    <w:rsid w:val="004966C7"/>
    <w:rsid w:val="00496B8D"/>
    <w:rsid w:val="004A078C"/>
    <w:rsid w:val="004A2C47"/>
    <w:rsid w:val="004A317A"/>
    <w:rsid w:val="004A41B9"/>
    <w:rsid w:val="004A435D"/>
    <w:rsid w:val="004A457C"/>
    <w:rsid w:val="004A654A"/>
    <w:rsid w:val="004A71DC"/>
    <w:rsid w:val="004A7618"/>
    <w:rsid w:val="004A792A"/>
    <w:rsid w:val="004A7966"/>
    <w:rsid w:val="004B09BE"/>
    <w:rsid w:val="004B3896"/>
    <w:rsid w:val="004B4A38"/>
    <w:rsid w:val="004B4C78"/>
    <w:rsid w:val="004B5072"/>
    <w:rsid w:val="004B5891"/>
    <w:rsid w:val="004B78EB"/>
    <w:rsid w:val="004B7EEC"/>
    <w:rsid w:val="004C03A7"/>
    <w:rsid w:val="004C09E3"/>
    <w:rsid w:val="004C101F"/>
    <w:rsid w:val="004C14F6"/>
    <w:rsid w:val="004C1542"/>
    <w:rsid w:val="004C1B9D"/>
    <w:rsid w:val="004C4618"/>
    <w:rsid w:val="004C4C36"/>
    <w:rsid w:val="004C5D64"/>
    <w:rsid w:val="004C5EA3"/>
    <w:rsid w:val="004C6B10"/>
    <w:rsid w:val="004C7CC8"/>
    <w:rsid w:val="004D0357"/>
    <w:rsid w:val="004D25EB"/>
    <w:rsid w:val="004D28E6"/>
    <w:rsid w:val="004D29F4"/>
    <w:rsid w:val="004D2A25"/>
    <w:rsid w:val="004D2CC5"/>
    <w:rsid w:val="004D3C21"/>
    <w:rsid w:val="004D4339"/>
    <w:rsid w:val="004D565C"/>
    <w:rsid w:val="004D6863"/>
    <w:rsid w:val="004E31FC"/>
    <w:rsid w:val="004E3288"/>
    <w:rsid w:val="004E33F1"/>
    <w:rsid w:val="004E5AD6"/>
    <w:rsid w:val="004E611D"/>
    <w:rsid w:val="004E61AE"/>
    <w:rsid w:val="004E61E8"/>
    <w:rsid w:val="004E7046"/>
    <w:rsid w:val="004E7E7D"/>
    <w:rsid w:val="004F17F9"/>
    <w:rsid w:val="004F35CD"/>
    <w:rsid w:val="004F38A2"/>
    <w:rsid w:val="004F3EBB"/>
    <w:rsid w:val="004F587A"/>
    <w:rsid w:val="004F5C01"/>
    <w:rsid w:val="004F616C"/>
    <w:rsid w:val="004F62EC"/>
    <w:rsid w:val="004F65E1"/>
    <w:rsid w:val="004F75FF"/>
    <w:rsid w:val="004F7D58"/>
    <w:rsid w:val="004F7E4C"/>
    <w:rsid w:val="00500700"/>
    <w:rsid w:val="005021C2"/>
    <w:rsid w:val="0050230E"/>
    <w:rsid w:val="005039EA"/>
    <w:rsid w:val="00505BAB"/>
    <w:rsid w:val="00507D78"/>
    <w:rsid w:val="00511B16"/>
    <w:rsid w:val="00513685"/>
    <w:rsid w:val="00513B6C"/>
    <w:rsid w:val="00514173"/>
    <w:rsid w:val="00514FAE"/>
    <w:rsid w:val="00515243"/>
    <w:rsid w:val="005157FB"/>
    <w:rsid w:val="00517086"/>
    <w:rsid w:val="005202D2"/>
    <w:rsid w:val="005211E1"/>
    <w:rsid w:val="005226C7"/>
    <w:rsid w:val="005229A5"/>
    <w:rsid w:val="00526EB2"/>
    <w:rsid w:val="00530079"/>
    <w:rsid w:val="00531E4E"/>
    <w:rsid w:val="00532274"/>
    <w:rsid w:val="00532295"/>
    <w:rsid w:val="00532DD6"/>
    <w:rsid w:val="00533303"/>
    <w:rsid w:val="005336E2"/>
    <w:rsid w:val="005348B6"/>
    <w:rsid w:val="005368C1"/>
    <w:rsid w:val="00536AB0"/>
    <w:rsid w:val="00536E11"/>
    <w:rsid w:val="00537E89"/>
    <w:rsid w:val="0054130C"/>
    <w:rsid w:val="00541BC9"/>
    <w:rsid w:val="00542FC9"/>
    <w:rsid w:val="005437F6"/>
    <w:rsid w:val="005455A0"/>
    <w:rsid w:val="00546DB0"/>
    <w:rsid w:val="005504FB"/>
    <w:rsid w:val="005513E2"/>
    <w:rsid w:val="00553B21"/>
    <w:rsid w:val="005556ED"/>
    <w:rsid w:val="0055645D"/>
    <w:rsid w:val="00557542"/>
    <w:rsid w:val="00557AFE"/>
    <w:rsid w:val="00560E66"/>
    <w:rsid w:val="005612A5"/>
    <w:rsid w:val="0056342A"/>
    <w:rsid w:val="00564747"/>
    <w:rsid w:val="00564FC4"/>
    <w:rsid w:val="00565925"/>
    <w:rsid w:val="00565B44"/>
    <w:rsid w:val="005668EE"/>
    <w:rsid w:val="005701C4"/>
    <w:rsid w:val="00570843"/>
    <w:rsid w:val="00570EE5"/>
    <w:rsid w:val="00572803"/>
    <w:rsid w:val="005732C1"/>
    <w:rsid w:val="005736FD"/>
    <w:rsid w:val="00575568"/>
    <w:rsid w:val="005764D5"/>
    <w:rsid w:val="005775C5"/>
    <w:rsid w:val="005777FD"/>
    <w:rsid w:val="0057787E"/>
    <w:rsid w:val="00580082"/>
    <w:rsid w:val="005808ED"/>
    <w:rsid w:val="00580DDC"/>
    <w:rsid w:val="00581D1E"/>
    <w:rsid w:val="005824DD"/>
    <w:rsid w:val="005825F3"/>
    <w:rsid w:val="00582B61"/>
    <w:rsid w:val="005833B4"/>
    <w:rsid w:val="00583528"/>
    <w:rsid w:val="00583989"/>
    <w:rsid w:val="0058518C"/>
    <w:rsid w:val="00585569"/>
    <w:rsid w:val="005856EF"/>
    <w:rsid w:val="00585C80"/>
    <w:rsid w:val="00586F32"/>
    <w:rsid w:val="00590A19"/>
    <w:rsid w:val="00592C8D"/>
    <w:rsid w:val="00592CCD"/>
    <w:rsid w:val="005930B2"/>
    <w:rsid w:val="0059326F"/>
    <w:rsid w:val="00593725"/>
    <w:rsid w:val="00593C79"/>
    <w:rsid w:val="00597F00"/>
    <w:rsid w:val="00597F17"/>
    <w:rsid w:val="005A0795"/>
    <w:rsid w:val="005A2394"/>
    <w:rsid w:val="005A24A7"/>
    <w:rsid w:val="005A24CE"/>
    <w:rsid w:val="005A4F10"/>
    <w:rsid w:val="005A5B06"/>
    <w:rsid w:val="005A639E"/>
    <w:rsid w:val="005A6B40"/>
    <w:rsid w:val="005A767A"/>
    <w:rsid w:val="005B13AA"/>
    <w:rsid w:val="005B2449"/>
    <w:rsid w:val="005B3FA5"/>
    <w:rsid w:val="005B46FA"/>
    <w:rsid w:val="005B51F6"/>
    <w:rsid w:val="005B5C19"/>
    <w:rsid w:val="005B6CAB"/>
    <w:rsid w:val="005B7748"/>
    <w:rsid w:val="005B77E6"/>
    <w:rsid w:val="005B784E"/>
    <w:rsid w:val="005C0227"/>
    <w:rsid w:val="005C0449"/>
    <w:rsid w:val="005C18A8"/>
    <w:rsid w:val="005C2E81"/>
    <w:rsid w:val="005C38DC"/>
    <w:rsid w:val="005C3CF7"/>
    <w:rsid w:val="005C491C"/>
    <w:rsid w:val="005C5A22"/>
    <w:rsid w:val="005C60EF"/>
    <w:rsid w:val="005C68C4"/>
    <w:rsid w:val="005C6F33"/>
    <w:rsid w:val="005C7539"/>
    <w:rsid w:val="005C7A20"/>
    <w:rsid w:val="005C7FD8"/>
    <w:rsid w:val="005D0699"/>
    <w:rsid w:val="005D2CC2"/>
    <w:rsid w:val="005D457E"/>
    <w:rsid w:val="005D5DCB"/>
    <w:rsid w:val="005D5FBB"/>
    <w:rsid w:val="005D70A6"/>
    <w:rsid w:val="005D7A6E"/>
    <w:rsid w:val="005D7A8E"/>
    <w:rsid w:val="005E03B9"/>
    <w:rsid w:val="005E16BF"/>
    <w:rsid w:val="005E2531"/>
    <w:rsid w:val="005E27A0"/>
    <w:rsid w:val="005E2E08"/>
    <w:rsid w:val="005E2F2A"/>
    <w:rsid w:val="005E32C9"/>
    <w:rsid w:val="005E6052"/>
    <w:rsid w:val="005E7C22"/>
    <w:rsid w:val="005F00D3"/>
    <w:rsid w:val="005F035D"/>
    <w:rsid w:val="005F0388"/>
    <w:rsid w:val="005F0B12"/>
    <w:rsid w:val="005F14F7"/>
    <w:rsid w:val="005F1ACC"/>
    <w:rsid w:val="005F2B97"/>
    <w:rsid w:val="005F2D9C"/>
    <w:rsid w:val="005F4EF4"/>
    <w:rsid w:val="005F5CAF"/>
    <w:rsid w:val="005F6913"/>
    <w:rsid w:val="005F729E"/>
    <w:rsid w:val="005F780C"/>
    <w:rsid w:val="005F795D"/>
    <w:rsid w:val="005F7E1E"/>
    <w:rsid w:val="00601131"/>
    <w:rsid w:val="00601A52"/>
    <w:rsid w:val="006026DA"/>
    <w:rsid w:val="006031D7"/>
    <w:rsid w:val="00603AFC"/>
    <w:rsid w:val="0060565E"/>
    <w:rsid w:val="00606178"/>
    <w:rsid w:val="00606C45"/>
    <w:rsid w:val="00607FA1"/>
    <w:rsid w:val="006103E9"/>
    <w:rsid w:val="00611592"/>
    <w:rsid w:val="006121BB"/>
    <w:rsid w:val="00612295"/>
    <w:rsid w:val="00612A09"/>
    <w:rsid w:val="00612CDA"/>
    <w:rsid w:val="0061300F"/>
    <w:rsid w:val="00613348"/>
    <w:rsid w:val="00613EE3"/>
    <w:rsid w:val="0061465B"/>
    <w:rsid w:val="00615D79"/>
    <w:rsid w:val="00617E65"/>
    <w:rsid w:val="006204FB"/>
    <w:rsid w:val="00621A86"/>
    <w:rsid w:val="00621A9A"/>
    <w:rsid w:val="00621D21"/>
    <w:rsid w:val="00621F05"/>
    <w:rsid w:val="00622139"/>
    <w:rsid w:val="006226B7"/>
    <w:rsid w:val="00623CFF"/>
    <w:rsid w:val="00623ED5"/>
    <w:rsid w:val="00625163"/>
    <w:rsid w:val="00625C7E"/>
    <w:rsid w:val="006263BD"/>
    <w:rsid w:val="006272AD"/>
    <w:rsid w:val="00627973"/>
    <w:rsid w:val="00630073"/>
    <w:rsid w:val="00630DD7"/>
    <w:rsid w:val="00630E66"/>
    <w:rsid w:val="00631716"/>
    <w:rsid w:val="00632094"/>
    <w:rsid w:val="00632132"/>
    <w:rsid w:val="00632965"/>
    <w:rsid w:val="006330A9"/>
    <w:rsid w:val="00633678"/>
    <w:rsid w:val="006340E5"/>
    <w:rsid w:val="006347F7"/>
    <w:rsid w:val="00635100"/>
    <w:rsid w:val="0063568B"/>
    <w:rsid w:val="00635B4E"/>
    <w:rsid w:val="0063639F"/>
    <w:rsid w:val="00636491"/>
    <w:rsid w:val="00641903"/>
    <w:rsid w:val="006426C0"/>
    <w:rsid w:val="00642EF2"/>
    <w:rsid w:val="00645000"/>
    <w:rsid w:val="00645C87"/>
    <w:rsid w:val="00645D88"/>
    <w:rsid w:val="006511C7"/>
    <w:rsid w:val="0065124A"/>
    <w:rsid w:val="006524E3"/>
    <w:rsid w:val="006527A1"/>
    <w:rsid w:val="00652E53"/>
    <w:rsid w:val="00653864"/>
    <w:rsid w:val="00653E95"/>
    <w:rsid w:val="006546ED"/>
    <w:rsid w:val="00654991"/>
    <w:rsid w:val="00654DD6"/>
    <w:rsid w:val="00654DD9"/>
    <w:rsid w:val="00656363"/>
    <w:rsid w:val="00657F1B"/>
    <w:rsid w:val="006615D9"/>
    <w:rsid w:val="00662976"/>
    <w:rsid w:val="00663C81"/>
    <w:rsid w:val="00663D0D"/>
    <w:rsid w:val="00664C97"/>
    <w:rsid w:val="006655BF"/>
    <w:rsid w:val="0066658D"/>
    <w:rsid w:val="00666987"/>
    <w:rsid w:val="006669FD"/>
    <w:rsid w:val="0067085A"/>
    <w:rsid w:val="00671053"/>
    <w:rsid w:val="0067105F"/>
    <w:rsid w:val="00671903"/>
    <w:rsid w:val="00671A6A"/>
    <w:rsid w:val="006737E8"/>
    <w:rsid w:val="00673DC2"/>
    <w:rsid w:val="00674F5A"/>
    <w:rsid w:val="00675FA4"/>
    <w:rsid w:val="006774A0"/>
    <w:rsid w:val="0068030C"/>
    <w:rsid w:val="00682508"/>
    <w:rsid w:val="00682746"/>
    <w:rsid w:val="006835B0"/>
    <w:rsid w:val="00683A6F"/>
    <w:rsid w:val="00683DAE"/>
    <w:rsid w:val="006866EA"/>
    <w:rsid w:val="006904BB"/>
    <w:rsid w:val="006904F3"/>
    <w:rsid w:val="006910B4"/>
    <w:rsid w:val="00691E3D"/>
    <w:rsid w:val="00691F3A"/>
    <w:rsid w:val="0069267E"/>
    <w:rsid w:val="00692BEB"/>
    <w:rsid w:val="00693099"/>
    <w:rsid w:val="0069325F"/>
    <w:rsid w:val="00693806"/>
    <w:rsid w:val="00693B44"/>
    <w:rsid w:val="00693BD9"/>
    <w:rsid w:val="00694919"/>
    <w:rsid w:val="0069546B"/>
    <w:rsid w:val="00695B27"/>
    <w:rsid w:val="00697E93"/>
    <w:rsid w:val="006A0734"/>
    <w:rsid w:val="006A0807"/>
    <w:rsid w:val="006A1965"/>
    <w:rsid w:val="006A2874"/>
    <w:rsid w:val="006A354F"/>
    <w:rsid w:val="006A4DBC"/>
    <w:rsid w:val="006A55D4"/>
    <w:rsid w:val="006A5607"/>
    <w:rsid w:val="006A5970"/>
    <w:rsid w:val="006A692D"/>
    <w:rsid w:val="006A6983"/>
    <w:rsid w:val="006A6CB6"/>
    <w:rsid w:val="006A7093"/>
    <w:rsid w:val="006A782C"/>
    <w:rsid w:val="006B07DC"/>
    <w:rsid w:val="006B126A"/>
    <w:rsid w:val="006B1F18"/>
    <w:rsid w:val="006B3029"/>
    <w:rsid w:val="006B5305"/>
    <w:rsid w:val="006B54BF"/>
    <w:rsid w:val="006B61D9"/>
    <w:rsid w:val="006C1189"/>
    <w:rsid w:val="006C3C1C"/>
    <w:rsid w:val="006C50EC"/>
    <w:rsid w:val="006C6646"/>
    <w:rsid w:val="006D24B8"/>
    <w:rsid w:val="006D24C6"/>
    <w:rsid w:val="006D3AF8"/>
    <w:rsid w:val="006D477C"/>
    <w:rsid w:val="006D58B0"/>
    <w:rsid w:val="006D5964"/>
    <w:rsid w:val="006D68E3"/>
    <w:rsid w:val="006D7FBF"/>
    <w:rsid w:val="006E01A1"/>
    <w:rsid w:val="006E02AA"/>
    <w:rsid w:val="006E1563"/>
    <w:rsid w:val="006E19F7"/>
    <w:rsid w:val="006E1C4A"/>
    <w:rsid w:val="006E1D95"/>
    <w:rsid w:val="006E2009"/>
    <w:rsid w:val="006E22A3"/>
    <w:rsid w:val="006E22BF"/>
    <w:rsid w:val="006E5891"/>
    <w:rsid w:val="006E78E3"/>
    <w:rsid w:val="006F0256"/>
    <w:rsid w:val="006F0B8E"/>
    <w:rsid w:val="006F0C5D"/>
    <w:rsid w:val="006F1127"/>
    <w:rsid w:val="006F1517"/>
    <w:rsid w:val="006F16D2"/>
    <w:rsid w:val="006F3CB9"/>
    <w:rsid w:val="006F4085"/>
    <w:rsid w:val="006F546F"/>
    <w:rsid w:val="006F5628"/>
    <w:rsid w:val="006F5A4B"/>
    <w:rsid w:val="006F77DE"/>
    <w:rsid w:val="00701D18"/>
    <w:rsid w:val="00702D95"/>
    <w:rsid w:val="00704E32"/>
    <w:rsid w:val="00705612"/>
    <w:rsid w:val="00706AFF"/>
    <w:rsid w:val="007077BF"/>
    <w:rsid w:val="007110A6"/>
    <w:rsid w:val="0071289D"/>
    <w:rsid w:val="00712E6E"/>
    <w:rsid w:val="00712FC5"/>
    <w:rsid w:val="007136AD"/>
    <w:rsid w:val="00713AD9"/>
    <w:rsid w:val="0071429D"/>
    <w:rsid w:val="007143AA"/>
    <w:rsid w:val="00714CBA"/>
    <w:rsid w:val="007152D7"/>
    <w:rsid w:val="007161A4"/>
    <w:rsid w:val="007172DA"/>
    <w:rsid w:val="00717542"/>
    <w:rsid w:val="007176DC"/>
    <w:rsid w:val="0071790D"/>
    <w:rsid w:val="00717D71"/>
    <w:rsid w:val="00717F25"/>
    <w:rsid w:val="00720C71"/>
    <w:rsid w:val="007212DC"/>
    <w:rsid w:val="00722203"/>
    <w:rsid w:val="007228FE"/>
    <w:rsid w:val="007239C8"/>
    <w:rsid w:val="00724C15"/>
    <w:rsid w:val="00725803"/>
    <w:rsid w:val="00725992"/>
    <w:rsid w:val="00730B99"/>
    <w:rsid w:val="00732A06"/>
    <w:rsid w:val="00732CAC"/>
    <w:rsid w:val="00734927"/>
    <w:rsid w:val="00734F40"/>
    <w:rsid w:val="00735A0E"/>
    <w:rsid w:val="00735AAF"/>
    <w:rsid w:val="0073722E"/>
    <w:rsid w:val="007378A1"/>
    <w:rsid w:val="00740380"/>
    <w:rsid w:val="00740D3B"/>
    <w:rsid w:val="007416BF"/>
    <w:rsid w:val="00742077"/>
    <w:rsid w:val="00742727"/>
    <w:rsid w:val="00744FAB"/>
    <w:rsid w:val="00747240"/>
    <w:rsid w:val="00747631"/>
    <w:rsid w:val="00747EFD"/>
    <w:rsid w:val="0075013F"/>
    <w:rsid w:val="007515F8"/>
    <w:rsid w:val="00751B69"/>
    <w:rsid w:val="00753D73"/>
    <w:rsid w:val="00756AEB"/>
    <w:rsid w:val="00757684"/>
    <w:rsid w:val="007577A5"/>
    <w:rsid w:val="00760B0D"/>
    <w:rsid w:val="007620CA"/>
    <w:rsid w:val="007621F7"/>
    <w:rsid w:val="0076494C"/>
    <w:rsid w:val="00764B09"/>
    <w:rsid w:val="00765501"/>
    <w:rsid w:val="00765A81"/>
    <w:rsid w:val="00766D91"/>
    <w:rsid w:val="00767195"/>
    <w:rsid w:val="007707E4"/>
    <w:rsid w:val="00771EDB"/>
    <w:rsid w:val="00772A66"/>
    <w:rsid w:val="00773501"/>
    <w:rsid w:val="00773CAC"/>
    <w:rsid w:val="00774407"/>
    <w:rsid w:val="007745A5"/>
    <w:rsid w:val="00774FDB"/>
    <w:rsid w:val="00775D6A"/>
    <w:rsid w:val="007763DD"/>
    <w:rsid w:val="0077689A"/>
    <w:rsid w:val="0077706F"/>
    <w:rsid w:val="007818E9"/>
    <w:rsid w:val="00783F29"/>
    <w:rsid w:val="00784F7D"/>
    <w:rsid w:val="00785642"/>
    <w:rsid w:val="00785B95"/>
    <w:rsid w:val="0078614B"/>
    <w:rsid w:val="00787928"/>
    <w:rsid w:val="00787E16"/>
    <w:rsid w:val="007908B3"/>
    <w:rsid w:val="0079272F"/>
    <w:rsid w:val="007931F2"/>
    <w:rsid w:val="007932F9"/>
    <w:rsid w:val="00793343"/>
    <w:rsid w:val="00793547"/>
    <w:rsid w:val="00795379"/>
    <w:rsid w:val="0079556B"/>
    <w:rsid w:val="00795C96"/>
    <w:rsid w:val="00796082"/>
    <w:rsid w:val="007972C5"/>
    <w:rsid w:val="0079794D"/>
    <w:rsid w:val="007A03FD"/>
    <w:rsid w:val="007A21B3"/>
    <w:rsid w:val="007A2211"/>
    <w:rsid w:val="007A2E1B"/>
    <w:rsid w:val="007A36F6"/>
    <w:rsid w:val="007A3BDF"/>
    <w:rsid w:val="007A3CDA"/>
    <w:rsid w:val="007A532A"/>
    <w:rsid w:val="007A578A"/>
    <w:rsid w:val="007A5817"/>
    <w:rsid w:val="007A5CAD"/>
    <w:rsid w:val="007A7629"/>
    <w:rsid w:val="007A77F4"/>
    <w:rsid w:val="007A7E19"/>
    <w:rsid w:val="007A7F83"/>
    <w:rsid w:val="007B11AB"/>
    <w:rsid w:val="007B14DB"/>
    <w:rsid w:val="007B1B7D"/>
    <w:rsid w:val="007B214E"/>
    <w:rsid w:val="007B2CEA"/>
    <w:rsid w:val="007B42B9"/>
    <w:rsid w:val="007B474D"/>
    <w:rsid w:val="007B4AEA"/>
    <w:rsid w:val="007B52FC"/>
    <w:rsid w:val="007B5E29"/>
    <w:rsid w:val="007B60B1"/>
    <w:rsid w:val="007B6A24"/>
    <w:rsid w:val="007B7533"/>
    <w:rsid w:val="007C062A"/>
    <w:rsid w:val="007C1AB3"/>
    <w:rsid w:val="007C20C7"/>
    <w:rsid w:val="007C2969"/>
    <w:rsid w:val="007C32DC"/>
    <w:rsid w:val="007C39A1"/>
    <w:rsid w:val="007C40F2"/>
    <w:rsid w:val="007C500B"/>
    <w:rsid w:val="007C5E49"/>
    <w:rsid w:val="007C6087"/>
    <w:rsid w:val="007C7CDD"/>
    <w:rsid w:val="007D0739"/>
    <w:rsid w:val="007D0B3E"/>
    <w:rsid w:val="007D1065"/>
    <w:rsid w:val="007D1E52"/>
    <w:rsid w:val="007D29AE"/>
    <w:rsid w:val="007D31E9"/>
    <w:rsid w:val="007D33D2"/>
    <w:rsid w:val="007D3DE3"/>
    <w:rsid w:val="007D470E"/>
    <w:rsid w:val="007D5BAE"/>
    <w:rsid w:val="007D5E16"/>
    <w:rsid w:val="007D7E78"/>
    <w:rsid w:val="007D7FCE"/>
    <w:rsid w:val="007E10AB"/>
    <w:rsid w:val="007E126E"/>
    <w:rsid w:val="007E2021"/>
    <w:rsid w:val="007E27F1"/>
    <w:rsid w:val="007E61CA"/>
    <w:rsid w:val="007E71EA"/>
    <w:rsid w:val="007E7568"/>
    <w:rsid w:val="007F18EE"/>
    <w:rsid w:val="007F3E20"/>
    <w:rsid w:val="007F6325"/>
    <w:rsid w:val="007F6A47"/>
    <w:rsid w:val="007F6BC4"/>
    <w:rsid w:val="007F6F53"/>
    <w:rsid w:val="007F78F2"/>
    <w:rsid w:val="007F7FA6"/>
    <w:rsid w:val="0080016D"/>
    <w:rsid w:val="008006C3"/>
    <w:rsid w:val="00800D3F"/>
    <w:rsid w:val="008010F8"/>
    <w:rsid w:val="008012DE"/>
    <w:rsid w:val="008033DF"/>
    <w:rsid w:val="00803547"/>
    <w:rsid w:val="00804B50"/>
    <w:rsid w:val="00805341"/>
    <w:rsid w:val="00805749"/>
    <w:rsid w:val="0080655F"/>
    <w:rsid w:val="00806F8E"/>
    <w:rsid w:val="008079A7"/>
    <w:rsid w:val="00807B8C"/>
    <w:rsid w:val="0081008B"/>
    <w:rsid w:val="0081088B"/>
    <w:rsid w:val="00810EE2"/>
    <w:rsid w:val="008115EA"/>
    <w:rsid w:val="00813324"/>
    <w:rsid w:val="00813747"/>
    <w:rsid w:val="008159B4"/>
    <w:rsid w:val="0081632E"/>
    <w:rsid w:val="0081740E"/>
    <w:rsid w:val="00817A20"/>
    <w:rsid w:val="00820755"/>
    <w:rsid w:val="00821D27"/>
    <w:rsid w:val="0082246A"/>
    <w:rsid w:val="0082342A"/>
    <w:rsid w:val="00823B9C"/>
    <w:rsid w:val="008244A5"/>
    <w:rsid w:val="00826634"/>
    <w:rsid w:val="008271DE"/>
    <w:rsid w:val="0082720C"/>
    <w:rsid w:val="008324BA"/>
    <w:rsid w:val="008343A9"/>
    <w:rsid w:val="00834D52"/>
    <w:rsid w:val="00835601"/>
    <w:rsid w:val="00835C6A"/>
    <w:rsid w:val="00836B52"/>
    <w:rsid w:val="0083712E"/>
    <w:rsid w:val="00837B4F"/>
    <w:rsid w:val="00837B90"/>
    <w:rsid w:val="008409A1"/>
    <w:rsid w:val="00841021"/>
    <w:rsid w:val="00841388"/>
    <w:rsid w:val="00842284"/>
    <w:rsid w:val="00842C42"/>
    <w:rsid w:val="00842C9A"/>
    <w:rsid w:val="00843639"/>
    <w:rsid w:val="008438E1"/>
    <w:rsid w:val="00843DF7"/>
    <w:rsid w:val="00844A43"/>
    <w:rsid w:val="00846C8D"/>
    <w:rsid w:val="00847753"/>
    <w:rsid w:val="0085098E"/>
    <w:rsid w:val="00850EB4"/>
    <w:rsid w:val="00851500"/>
    <w:rsid w:val="008524D1"/>
    <w:rsid w:val="00852D05"/>
    <w:rsid w:val="0085370D"/>
    <w:rsid w:val="00853B65"/>
    <w:rsid w:val="008547DB"/>
    <w:rsid w:val="0085492E"/>
    <w:rsid w:val="00854B0D"/>
    <w:rsid w:val="00855365"/>
    <w:rsid w:val="00855E1B"/>
    <w:rsid w:val="00856BE2"/>
    <w:rsid w:val="00861503"/>
    <w:rsid w:val="00861BDB"/>
    <w:rsid w:val="00861EB6"/>
    <w:rsid w:val="00862108"/>
    <w:rsid w:val="00863843"/>
    <w:rsid w:val="00863AD6"/>
    <w:rsid w:val="00863F03"/>
    <w:rsid w:val="0086432B"/>
    <w:rsid w:val="00864F66"/>
    <w:rsid w:val="008660CC"/>
    <w:rsid w:val="008705A6"/>
    <w:rsid w:val="00871344"/>
    <w:rsid w:val="0087386B"/>
    <w:rsid w:val="00873E14"/>
    <w:rsid w:val="008750E6"/>
    <w:rsid w:val="00876210"/>
    <w:rsid w:val="00876729"/>
    <w:rsid w:val="00877D0C"/>
    <w:rsid w:val="00882D99"/>
    <w:rsid w:val="00883206"/>
    <w:rsid w:val="008844C2"/>
    <w:rsid w:val="00884861"/>
    <w:rsid w:val="00885150"/>
    <w:rsid w:val="00885A7D"/>
    <w:rsid w:val="00886BB3"/>
    <w:rsid w:val="00886E81"/>
    <w:rsid w:val="00887828"/>
    <w:rsid w:val="00887F83"/>
    <w:rsid w:val="008901E5"/>
    <w:rsid w:val="008906F5"/>
    <w:rsid w:val="00890DD4"/>
    <w:rsid w:val="00891CB6"/>
    <w:rsid w:val="0089233A"/>
    <w:rsid w:val="00893704"/>
    <w:rsid w:val="0089395C"/>
    <w:rsid w:val="00894AFE"/>
    <w:rsid w:val="00894FDB"/>
    <w:rsid w:val="00895BD1"/>
    <w:rsid w:val="008966F5"/>
    <w:rsid w:val="00896993"/>
    <w:rsid w:val="0089700A"/>
    <w:rsid w:val="00897512"/>
    <w:rsid w:val="00897D3F"/>
    <w:rsid w:val="00897E90"/>
    <w:rsid w:val="008A0879"/>
    <w:rsid w:val="008A0D6A"/>
    <w:rsid w:val="008A1FEE"/>
    <w:rsid w:val="008A21E9"/>
    <w:rsid w:val="008A26F6"/>
    <w:rsid w:val="008A2CCB"/>
    <w:rsid w:val="008A412C"/>
    <w:rsid w:val="008A588F"/>
    <w:rsid w:val="008A682B"/>
    <w:rsid w:val="008A6EAC"/>
    <w:rsid w:val="008A7FC3"/>
    <w:rsid w:val="008B22D3"/>
    <w:rsid w:val="008B246E"/>
    <w:rsid w:val="008B3709"/>
    <w:rsid w:val="008B429A"/>
    <w:rsid w:val="008B5110"/>
    <w:rsid w:val="008C04EC"/>
    <w:rsid w:val="008C1439"/>
    <w:rsid w:val="008C1BA8"/>
    <w:rsid w:val="008C1DCE"/>
    <w:rsid w:val="008C21A8"/>
    <w:rsid w:val="008C2578"/>
    <w:rsid w:val="008C3324"/>
    <w:rsid w:val="008C4259"/>
    <w:rsid w:val="008C63BC"/>
    <w:rsid w:val="008C6E82"/>
    <w:rsid w:val="008C7BA2"/>
    <w:rsid w:val="008D118C"/>
    <w:rsid w:val="008D2144"/>
    <w:rsid w:val="008D27FA"/>
    <w:rsid w:val="008D3D06"/>
    <w:rsid w:val="008D3E3E"/>
    <w:rsid w:val="008D54DD"/>
    <w:rsid w:val="008D6AAC"/>
    <w:rsid w:val="008D7325"/>
    <w:rsid w:val="008E0EB2"/>
    <w:rsid w:val="008E19DD"/>
    <w:rsid w:val="008E1DDF"/>
    <w:rsid w:val="008E275F"/>
    <w:rsid w:val="008E285D"/>
    <w:rsid w:val="008E30BC"/>
    <w:rsid w:val="008E3F29"/>
    <w:rsid w:val="008E41F1"/>
    <w:rsid w:val="008E506A"/>
    <w:rsid w:val="008E5677"/>
    <w:rsid w:val="008E574A"/>
    <w:rsid w:val="008E57A7"/>
    <w:rsid w:val="008E5AFD"/>
    <w:rsid w:val="008E6563"/>
    <w:rsid w:val="008E698B"/>
    <w:rsid w:val="008E6BF1"/>
    <w:rsid w:val="008E7433"/>
    <w:rsid w:val="008F0231"/>
    <w:rsid w:val="008F12E1"/>
    <w:rsid w:val="008F14AF"/>
    <w:rsid w:val="008F1E09"/>
    <w:rsid w:val="008F28E8"/>
    <w:rsid w:val="008F39AE"/>
    <w:rsid w:val="008F3AAD"/>
    <w:rsid w:val="008F3BE5"/>
    <w:rsid w:val="008F3CAD"/>
    <w:rsid w:val="008F452C"/>
    <w:rsid w:val="008F50E6"/>
    <w:rsid w:val="008F537E"/>
    <w:rsid w:val="008F55B1"/>
    <w:rsid w:val="008F5775"/>
    <w:rsid w:val="008F5C22"/>
    <w:rsid w:val="008F5CAA"/>
    <w:rsid w:val="008F68B8"/>
    <w:rsid w:val="008F6957"/>
    <w:rsid w:val="00900AD3"/>
    <w:rsid w:val="00900E08"/>
    <w:rsid w:val="0090129E"/>
    <w:rsid w:val="00901396"/>
    <w:rsid w:val="00901E83"/>
    <w:rsid w:val="00902477"/>
    <w:rsid w:val="00902520"/>
    <w:rsid w:val="00902596"/>
    <w:rsid w:val="00903AA6"/>
    <w:rsid w:val="00903F5C"/>
    <w:rsid w:val="0090419D"/>
    <w:rsid w:val="0090489E"/>
    <w:rsid w:val="0090535E"/>
    <w:rsid w:val="00906B6E"/>
    <w:rsid w:val="00906DA9"/>
    <w:rsid w:val="00907054"/>
    <w:rsid w:val="0090784E"/>
    <w:rsid w:val="00907BCC"/>
    <w:rsid w:val="009104E9"/>
    <w:rsid w:val="00910749"/>
    <w:rsid w:val="00911169"/>
    <w:rsid w:val="00911F3E"/>
    <w:rsid w:val="009122D0"/>
    <w:rsid w:val="0091365F"/>
    <w:rsid w:val="009138C8"/>
    <w:rsid w:val="00913B53"/>
    <w:rsid w:val="009144F2"/>
    <w:rsid w:val="00915115"/>
    <w:rsid w:val="009156E4"/>
    <w:rsid w:val="0091573A"/>
    <w:rsid w:val="00915C31"/>
    <w:rsid w:val="00915F5A"/>
    <w:rsid w:val="00916058"/>
    <w:rsid w:val="00916333"/>
    <w:rsid w:val="00917216"/>
    <w:rsid w:val="00920130"/>
    <w:rsid w:val="009202CB"/>
    <w:rsid w:val="00920AEA"/>
    <w:rsid w:val="00922C49"/>
    <w:rsid w:val="0092394F"/>
    <w:rsid w:val="00923ED1"/>
    <w:rsid w:val="0092541F"/>
    <w:rsid w:val="00925F21"/>
    <w:rsid w:val="00926AA8"/>
    <w:rsid w:val="00926F8D"/>
    <w:rsid w:val="009279F4"/>
    <w:rsid w:val="0093095A"/>
    <w:rsid w:val="0093131B"/>
    <w:rsid w:val="009315F0"/>
    <w:rsid w:val="00931F1B"/>
    <w:rsid w:val="0093230E"/>
    <w:rsid w:val="0093309F"/>
    <w:rsid w:val="00933333"/>
    <w:rsid w:val="009336AC"/>
    <w:rsid w:val="00933C79"/>
    <w:rsid w:val="009341AD"/>
    <w:rsid w:val="009353B2"/>
    <w:rsid w:val="00935638"/>
    <w:rsid w:val="00935B46"/>
    <w:rsid w:val="0093655E"/>
    <w:rsid w:val="00936643"/>
    <w:rsid w:val="0093769D"/>
    <w:rsid w:val="0094020B"/>
    <w:rsid w:val="00940DF5"/>
    <w:rsid w:val="00940E44"/>
    <w:rsid w:val="00941344"/>
    <w:rsid w:val="00941636"/>
    <w:rsid w:val="00941A1D"/>
    <w:rsid w:val="009425BA"/>
    <w:rsid w:val="0094306E"/>
    <w:rsid w:val="00943BF6"/>
    <w:rsid w:val="009459BB"/>
    <w:rsid w:val="00945AEA"/>
    <w:rsid w:val="00945FA1"/>
    <w:rsid w:val="009462F2"/>
    <w:rsid w:val="00947631"/>
    <w:rsid w:val="009515FB"/>
    <w:rsid w:val="009534F5"/>
    <w:rsid w:val="00953594"/>
    <w:rsid w:val="00953E0F"/>
    <w:rsid w:val="009543C7"/>
    <w:rsid w:val="00955984"/>
    <w:rsid w:val="0096081B"/>
    <w:rsid w:val="0096121B"/>
    <w:rsid w:val="00961E48"/>
    <w:rsid w:val="00962394"/>
    <w:rsid w:val="00967E9C"/>
    <w:rsid w:val="00970385"/>
    <w:rsid w:val="0097062D"/>
    <w:rsid w:val="00970E23"/>
    <w:rsid w:val="00970E94"/>
    <w:rsid w:val="00972048"/>
    <w:rsid w:val="009735DF"/>
    <w:rsid w:val="00973AF2"/>
    <w:rsid w:val="00973EDE"/>
    <w:rsid w:val="0097547A"/>
    <w:rsid w:val="0097577A"/>
    <w:rsid w:val="00975C39"/>
    <w:rsid w:val="00977F2E"/>
    <w:rsid w:val="00977F95"/>
    <w:rsid w:val="00981416"/>
    <w:rsid w:val="0098195C"/>
    <w:rsid w:val="00982F3F"/>
    <w:rsid w:val="00983169"/>
    <w:rsid w:val="00984C1B"/>
    <w:rsid w:val="00986376"/>
    <w:rsid w:val="009869A4"/>
    <w:rsid w:val="009874B0"/>
    <w:rsid w:val="009875D6"/>
    <w:rsid w:val="00990862"/>
    <w:rsid w:val="00991952"/>
    <w:rsid w:val="00992B9A"/>
    <w:rsid w:val="00993FD4"/>
    <w:rsid w:val="00994090"/>
    <w:rsid w:val="00994938"/>
    <w:rsid w:val="009961F5"/>
    <w:rsid w:val="0099747E"/>
    <w:rsid w:val="009976AE"/>
    <w:rsid w:val="009A0153"/>
    <w:rsid w:val="009A1D5C"/>
    <w:rsid w:val="009A2239"/>
    <w:rsid w:val="009A22F4"/>
    <w:rsid w:val="009A25CF"/>
    <w:rsid w:val="009A3D37"/>
    <w:rsid w:val="009A4A6D"/>
    <w:rsid w:val="009A5D51"/>
    <w:rsid w:val="009B00B8"/>
    <w:rsid w:val="009B0F03"/>
    <w:rsid w:val="009B13EF"/>
    <w:rsid w:val="009B144B"/>
    <w:rsid w:val="009B1FEA"/>
    <w:rsid w:val="009B210F"/>
    <w:rsid w:val="009B278A"/>
    <w:rsid w:val="009B3D2F"/>
    <w:rsid w:val="009B6C64"/>
    <w:rsid w:val="009B7223"/>
    <w:rsid w:val="009B77CC"/>
    <w:rsid w:val="009C03BD"/>
    <w:rsid w:val="009C0753"/>
    <w:rsid w:val="009C2D3D"/>
    <w:rsid w:val="009C388A"/>
    <w:rsid w:val="009C4B93"/>
    <w:rsid w:val="009C4BC6"/>
    <w:rsid w:val="009C56DC"/>
    <w:rsid w:val="009C5B72"/>
    <w:rsid w:val="009C6332"/>
    <w:rsid w:val="009C68B7"/>
    <w:rsid w:val="009C68D6"/>
    <w:rsid w:val="009C702B"/>
    <w:rsid w:val="009C74E8"/>
    <w:rsid w:val="009C780E"/>
    <w:rsid w:val="009C7A42"/>
    <w:rsid w:val="009D30A9"/>
    <w:rsid w:val="009D3E1E"/>
    <w:rsid w:val="009D4029"/>
    <w:rsid w:val="009D45C6"/>
    <w:rsid w:val="009D4747"/>
    <w:rsid w:val="009D4C37"/>
    <w:rsid w:val="009D5F55"/>
    <w:rsid w:val="009E05F2"/>
    <w:rsid w:val="009E0C8E"/>
    <w:rsid w:val="009E135A"/>
    <w:rsid w:val="009E1CB8"/>
    <w:rsid w:val="009E2167"/>
    <w:rsid w:val="009E3B79"/>
    <w:rsid w:val="009E516C"/>
    <w:rsid w:val="009E5677"/>
    <w:rsid w:val="009E5AAD"/>
    <w:rsid w:val="009E6FAB"/>
    <w:rsid w:val="009F06DB"/>
    <w:rsid w:val="009F12EB"/>
    <w:rsid w:val="009F1B76"/>
    <w:rsid w:val="009F213F"/>
    <w:rsid w:val="009F27C8"/>
    <w:rsid w:val="009F3938"/>
    <w:rsid w:val="009F427A"/>
    <w:rsid w:val="009F497D"/>
    <w:rsid w:val="009F54DE"/>
    <w:rsid w:val="009F56AB"/>
    <w:rsid w:val="009F6DCC"/>
    <w:rsid w:val="009F7278"/>
    <w:rsid w:val="009F7375"/>
    <w:rsid w:val="009F79B6"/>
    <w:rsid w:val="00A00553"/>
    <w:rsid w:val="00A010DD"/>
    <w:rsid w:val="00A02B13"/>
    <w:rsid w:val="00A05024"/>
    <w:rsid w:val="00A058FF"/>
    <w:rsid w:val="00A0791B"/>
    <w:rsid w:val="00A07B69"/>
    <w:rsid w:val="00A07CCB"/>
    <w:rsid w:val="00A1041B"/>
    <w:rsid w:val="00A104E6"/>
    <w:rsid w:val="00A10CF9"/>
    <w:rsid w:val="00A12E3F"/>
    <w:rsid w:val="00A1325F"/>
    <w:rsid w:val="00A16427"/>
    <w:rsid w:val="00A167C0"/>
    <w:rsid w:val="00A17327"/>
    <w:rsid w:val="00A17FA6"/>
    <w:rsid w:val="00A20864"/>
    <w:rsid w:val="00A20897"/>
    <w:rsid w:val="00A20E94"/>
    <w:rsid w:val="00A210F3"/>
    <w:rsid w:val="00A21B5E"/>
    <w:rsid w:val="00A21C17"/>
    <w:rsid w:val="00A21CC7"/>
    <w:rsid w:val="00A21FA4"/>
    <w:rsid w:val="00A232A4"/>
    <w:rsid w:val="00A232CF"/>
    <w:rsid w:val="00A23B54"/>
    <w:rsid w:val="00A23ED3"/>
    <w:rsid w:val="00A24442"/>
    <w:rsid w:val="00A25A0C"/>
    <w:rsid w:val="00A25B21"/>
    <w:rsid w:val="00A25E65"/>
    <w:rsid w:val="00A277EC"/>
    <w:rsid w:val="00A30811"/>
    <w:rsid w:val="00A34326"/>
    <w:rsid w:val="00A34875"/>
    <w:rsid w:val="00A362BA"/>
    <w:rsid w:val="00A37602"/>
    <w:rsid w:val="00A40B99"/>
    <w:rsid w:val="00A40CC7"/>
    <w:rsid w:val="00A4270D"/>
    <w:rsid w:val="00A42A42"/>
    <w:rsid w:val="00A4341B"/>
    <w:rsid w:val="00A43638"/>
    <w:rsid w:val="00A46C3B"/>
    <w:rsid w:val="00A4736C"/>
    <w:rsid w:val="00A47DF6"/>
    <w:rsid w:val="00A50051"/>
    <w:rsid w:val="00A5061B"/>
    <w:rsid w:val="00A50962"/>
    <w:rsid w:val="00A50C00"/>
    <w:rsid w:val="00A50C83"/>
    <w:rsid w:val="00A51971"/>
    <w:rsid w:val="00A52BDD"/>
    <w:rsid w:val="00A53BC9"/>
    <w:rsid w:val="00A53BF5"/>
    <w:rsid w:val="00A53C55"/>
    <w:rsid w:val="00A5497D"/>
    <w:rsid w:val="00A54FA0"/>
    <w:rsid w:val="00A567C4"/>
    <w:rsid w:val="00A567C9"/>
    <w:rsid w:val="00A60495"/>
    <w:rsid w:val="00A61128"/>
    <w:rsid w:val="00A62B1C"/>
    <w:rsid w:val="00A634D5"/>
    <w:rsid w:val="00A641D7"/>
    <w:rsid w:val="00A64233"/>
    <w:rsid w:val="00A64316"/>
    <w:rsid w:val="00A64E87"/>
    <w:rsid w:val="00A65140"/>
    <w:rsid w:val="00A65829"/>
    <w:rsid w:val="00A6674D"/>
    <w:rsid w:val="00A66899"/>
    <w:rsid w:val="00A66CBC"/>
    <w:rsid w:val="00A70664"/>
    <w:rsid w:val="00A70C6C"/>
    <w:rsid w:val="00A71863"/>
    <w:rsid w:val="00A72330"/>
    <w:rsid w:val="00A72387"/>
    <w:rsid w:val="00A72C83"/>
    <w:rsid w:val="00A73AC9"/>
    <w:rsid w:val="00A73BE6"/>
    <w:rsid w:val="00A73D0D"/>
    <w:rsid w:val="00A73E6C"/>
    <w:rsid w:val="00A77650"/>
    <w:rsid w:val="00A80AAA"/>
    <w:rsid w:val="00A80C1A"/>
    <w:rsid w:val="00A80F1B"/>
    <w:rsid w:val="00A81017"/>
    <w:rsid w:val="00A813FA"/>
    <w:rsid w:val="00A8159E"/>
    <w:rsid w:val="00A81DCC"/>
    <w:rsid w:val="00A83954"/>
    <w:rsid w:val="00A839A2"/>
    <w:rsid w:val="00A847BF"/>
    <w:rsid w:val="00A85F31"/>
    <w:rsid w:val="00A87628"/>
    <w:rsid w:val="00A877D9"/>
    <w:rsid w:val="00A902CE"/>
    <w:rsid w:val="00A918D6"/>
    <w:rsid w:val="00A93328"/>
    <w:rsid w:val="00A9443B"/>
    <w:rsid w:val="00A949CF"/>
    <w:rsid w:val="00A95A71"/>
    <w:rsid w:val="00A95B56"/>
    <w:rsid w:val="00A95B77"/>
    <w:rsid w:val="00A96075"/>
    <w:rsid w:val="00A9667B"/>
    <w:rsid w:val="00A969FD"/>
    <w:rsid w:val="00A96A8D"/>
    <w:rsid w:val="00A96CC0"/>
    <w:rsid w:val="00A96FDB"/>
    <w:rsid w:val="00AA0B2D"/>
    <w:rsid w:val="00AA1C18"/>
    <w:rsid w:val="00AA3411"/>
    <w:rsid w:val="00AA3FFD"/>
    <w:rsid w:val="00AA4E2E"/>
    <w:rsid w:val="00AA5D6E"/>
    <w:rsid w:val="00AA6ED9"/>
    <w:rsid w:val="00AB07E4"/>
    <w:rsid w:val="00AB0C14"/>
    <w:rsid w:val="00AB2D63"/>
    <w:rsid w:val="00AB33E9"/>
    <w:rsid w:val="00AB348E"/>
    <w:rsid w:val="00AB45B7"/>
    <w:rsid w:val="00AB4D86"/>
    <w:rsid w:val="00AB5021"/>
    <w:rsid w:val="00AB529F"/>
    <w:rsid w:val="00AB6322"/>
    <w:rsid w:val="00AB660D"/>
    <w:rsid w:val="00AB70D8"/>
    <w:rsid w:val="00AC25C3"/>
    <w:rsid w:val="00AC2ED1"/>
    <w:rsid w:val="00AC31AF"/>
    <w:rsid w:val="00AC32EA"/>
    <w:rsid w:val="00AC35CD"/>
    <w:rsid w:val="00AC38B6"/>
    <w:rsid w:val="00AC483A"/>
    <w:rsid w:val="00AC4E19"/>
    <w:rsid w:val="00AC6242"/>
    <w:rsid w:val="00AC68A3"/>
    <w:rsid w:val="00AD0842"/>
    <w:rsid w:val="00AD0F45"/>
    <w:rsid w:val="00AD1C38"/>
    <w:rsid w:val="00AD1E8E"/>
    <w:rsid w:val="00AD2C7A"/>
    <w:rsid w:val="00AD46C7"/>
    <w:rsid w:val="00AD5B7D"/>
    <w:rsid w:val="00AD741A"/>
    <w:rsid w:val="00AE04EB"/>
    <w:rsid w:val="00AE0693"/>
    <w:rsid w:val="00AE2921"/>
    <w:rsid w:val="00AE2D65"/>
    <w:rsid w:val="00AE3172"/>
    <w:rsid w:val="00AE48F4"/>
    <w:rsid w:val="00AE4E94"/>
    <w:rsid w:val="00AE4F28"/>
    <w:rsid w:val="00AE56BE"/>
    <w:rsid w:val="00AE58A2"/>
    <w:rsid w:val="00AE5BFB"/>
    <w:rsid w:val="00AE5F50"/>
    <w:rsid w:val="00AE65A5"/>
    <w:rsid w:val="00AE73D2"/>
    <w:rsid w:val="00AE7B6D"/>
    <w:rsid w:val="00AF008C"/>
    <w:rsid w:val="00AF0A94"/>
    <w:rsid w:val="00AF0A9F"/>
    <w:rsid w:val="00AF0B61"/>
    <w:rsid w:val="00AF1F69"/>
    <w:rsid w:val="00AF2AF0"/>
    <w:rsid w:val="00AF3F32"/>
    <w:rsid w:val="00AF4A8F"/>
    <w:rsid w:val="00AF5326"/>
    <w:rsid w:val="00AF5A28"/>
    <w:rsid w:val="00AF5B40"/>
    <w:rsid w:val="00AF5C3E"/>
    <w:rsid w:val="00AF7955"/>
    <w:rsid w:val="00AF7AB2"/>
    <w:rsid w:val="00AF7CB7"/>
    <w:rsid w:val="00B01294"/>
    <w:rsid w:val="00B014D7"/>
    <w:rsid w:val="00B02353"/>
    <w:rsid w:val="00B030A1"/>
    <w:rsid w:val="00B03224"/>
    <w:rsid w:val="00B05524"/>
    <w:rsid w:val="00B062C2"/>
    <w:rsid w:val="00B06F82"/>
    <w:rsid w:val="00B10098"/>
    <w:rsid w:val="00B10ACB"/>
    <w:rsid w:val="00B10B3E"/>
    <w:rsid w:val="00B12C9E"/>
    <w:rsid w:val="00B12DFD"/>
    <w:rsid w:val="00B14639"/>
    <w:rsid w:val="00B15DCD"/>
    <w:rsid w:val="00B1674C"/>
    <w:rsid w:val="00B16E2E"/>
    <w:rsid w:val="00B173DE"/>
    <w:rsid w:val="00B17C75"/>
    <w:rsid w:val="00B20549"/>
    <w:rsid w:val="00B22033"/>
    <w:rsid w:val="00B231C9"/>
    <w:rsid w:val="00B2359D"/>
    <w:rsid w:val="00B235FD"/>
    <w:rsid w:val="00B244B0"/>
    <w:rsid w:val="00B25E42"/>
    <w:rsid w:val="00B314DA"/>
    <w:rsid w:val="00B33555"/>
    <w:rsid w:val="00B33A80"/>
    <w:rsid w:val="00B33B0B"/>
    <w:rsid w:val="00B34C87"/>
    <w:rsid w:val="00B352F0"/>
    <w:rsid w:val="00B35BF8"/>
    <w:rsid w:val="00B35F75"/>
    <w:rsid w:val="00B36045"/>
    <w:rsid w:val="00B36105"/>
    <w:rsid w:val="00B365DF"/>
    <w:rsid w:val="00B36871"/>
    <w:rsid w:val="00B4185D"/>
    <w:rsid w:val="00B419CB"/>
    <w:rsid w:val="00B420A4"/>
    <w:rsid w:val="00B420AD"/>
    <w:rsid w:val="00B420FC"/>
    <w:rsid w:val="00B425D9"/>
    <w:rsid w:val="00B42D0E"/>
    <w:rsid w:val="00B434D2"/>
    <w:rsid w:val="00B44624"/>
    <w:rsid w:val="00B44780"/>
    <w:rsid w:val="00B45CD7"/>
    <w:rsid w:val="00B460C6"/>
    <w:rsid w:val="00B462C3"/>
    <w:rsid w:val="00B46466"/>
    <w:rsid w:val="00B46B0C"/>
    <w:rsid w:val="00B46B2E"/>
    <w:rsid w:val="00B472BB"/>
    <w:rsid w:val="00B47785"/>
    <w:rsid w:val="00B501E7"/>
    <w:rsid w:val="00B53D8E"/>
    <w:rsid w:val="00B543C8"/>
    <w:rsid w:val="00B548B8"/>
    <w:rsid w:val="00B54A0D"/>
    <w:rsid w:val="00B55725"/>
    <w:rsid w:val="00B557F7"/>
    <w:rsid w:val="00B56D08"/>
    <w:rsid w:val="00B5723F"/>
    <w:rsid w:val="00B57A69"/>
    <w:rsid w:val="00B60644"/>
    <w:rsid w:val="00B6065A"/>
    <w:rsid w:val="00B60D83"/>
    <w:rsid w:val="00B6209A"/>
    <w:rsid w:val="00B62164"/>
    <w:rsid w:val="00B624E5"/>
    <w:rsid w:val="00B62CF8"/>
    <w:rsid w:val="00B64956"/>
    <w:rsid w:val="00B65905"/>
    <w:rsid w:val="00B65A18"/>
    <w:rsid w:val="00B661B6"/>
    <w:rsid w:val="00B6647C"/>
    <w:rsid w:val="00B66B7B"/>
    <w:rsid w:val="00B67CA9"/>
    <w:rsid w:val="00B67D6D"/>
    <w:rsid w:val="00B67FDC"/>
    <w:rsid w:val="00B702B5"/>
    <w:rsid w:val="00B71600"/>
    <w:rsid w:val="00B72FE6"/>
    <w:rsid w:val="00B73060"/>
    <w:rsid w:val="00B7439C"/>
    <w:rsid w:val="00B75828"/>
    <w:rsid w:val="00B75C35"/>
    <w:rsid w:val="00B762AB"/>
    <w:rsid w:val="00B76B58"/>
    <w:rsid w:val="00B7F511"/>
    <w:rsid w:val="00B8017A"/>
    <w:rsid w:val="00B8277E"/>
    <w:rsid w:val="00B82BB5"/>
    <w:rsid w:val="00B82DC5"/>
    <w:rsid w:val="00B847A2"/>
    <w:rsid w:val="00B848CA"/>
    <w:rsid w:val="00B85040"/>
    <w:rsid w:val="00B865B1"/>
    <w:rsid w:val="00B878CD"/>
    <w:rsid w:val="00B87AB1"/>
    <w:rsid w:val="00B87FF1"/>
    <w:rsid w:val="00B900C7"/>
    <w:rsid w:val="00B91E49"/>
    <w:rsid w:val="00B922FD"/>
    <w:rsid w:val="00B92818"/>
    <w:rsid w:val="00B9486B"/>
    <w:rsid w:val="00B94FC3"/>
    <w:rsid w:val="00B95606"/>
    <w:rsid w:val="00B95F2D"/>
    <w:rsid w:val="00B9744E"/>
    <w:rsid w:val="00B974CD"/>
    <w:rsid w:val="00B97C2F"/>
    <w:rsid w:val="00BA0868"/>
    <w:rsid w:val="00BA13EF"/>
    <w:rsid w:val="00BA35F0"/>
    <w:rsid w:val="00BA40C9"/>
    <w:rsid w:val="00BA43CE"/>
    <w:rsid w:val="00BA44A9"/>
    <w:rsid w:val="00BA4AA9"/>
    <w:rsid w:val="00BA5487"/>
    <w:rsid w:val="00BA6269"/>
    <w:rsid w:val="00BA65BE"/>
    <w:rsid w:val="00BA697F"/>
    <w:rsid w:val="00BB0066"/>
    <w:rsid w:val="00BB09D2"/>
    <w:rsid w:val="00BB0EF9"/>
    <w:rsid w:val="00BB0FAD"/>
    <w:rsid w:val="00BB12AE"/>
    <w:rsid w:val="00BB32A5"/>
    <w:rsid w:val="00BB4047"/>
    <w:rsid w:val="00BB4103"/>
    <w:rsid w:val="00BB46E9"/>
    <w:rsid w:val="00BB49CD"/>
    <w:rsid w:val="00BB4BC8"/>
    <w:rsid w:val="00BB5451"/>
    <w:rsid w:val="00BB5A75"/>
    <w:rsid w:val="00BB5B3C"/>
    <w:rsid w:val="00BB5BE3"/>
    <w:rsid w:val="00BB6BD7"/>
    <w:rsid w:val="00BB7C12"/>
    <w:rsid w:val="00BC088D"/>
    <w:rsid w:val="00BC0F80"/>
    <w:rsid w:val="00BC0FF8"/>
    <w:rsid w:val="00BC1764"/>
    <w:rsid w:val="00BC1D13"/>
    <w:rsid w:val="00BC22E1"/>
    <w:rsid w:val="00BC3DAD"/>
    <w:rsid w:val="00BC420A"/>
    <w:rsid w:val="00BC581D"/>
    <w:rsid w:val="00BC5859"/>
    <w:rsid w:val="00BC729F"/>
    <w:rsid w:val="00BD0695"/>
    <w:rsid w:val="00BD137B"/>
    <w:rsid w:val="00BD25FC"/>
    <w:rsid w:val="00BD4EDE"/>
    <w:rsid w:val="00BD4FB2"/>
    <w:rsid w:val="00BD56E2"/>
    <w:rsid w:val="00BD64F0"/>
    <w:rsid w:val="00BD699A"/>
    <w:rsid w:val="00BD7385"/>
    <w:rsid w:val="00BD7423"/>
    <w:rsid w:val="00BD7A93"/>
    <w:rsid w:val="00BD7D56"/>
    <w:rsid w:val="00BE033B"/>
    <w:rsid w:val="00BE0A92"/>
    <w:rsid w:val="00BE1A3C"/>
    <w:rsid w:val="00BE2B79"/>
    <w:rsid w:val="00BE318A"/>
    <w:rsid w:val="00BE5C25"/>
    <w:rsid w:val="00BE5C6C"/>
    <w:rsid w:val="00BE5DA7"/>
    <w:rsid w:val="00BE6B9A"/>
    <w:rsid w:val="00BF123E"/>
    <w:rsid w:val="00BF1B84"/>
    <w:rsid w:val="00BF22C8"/>
    <w:rsid w:val="00BF33B1"/>
    <w:rsid w:val="00BF48E2"/>
    <w:rsid w:val="00BF5004"/>
    <w:rsid w:val="00BF6697"/>
    <w:rsid w:val="00BF6901"/>
    <w:rsid w:val="00BF7C92"/>
    <w:rsid w:val="00BF7CF6"/>
    <w:rsid w:val="00C00532"/>
    <w:rsid w:val="00C00BAF"/>
    <w:rsid w:val="00C02C00"/>
    <w:rsid w:val="00C02F63"/>
    <w:rsid w:val="00C036D0"/>
    <w:rsid w:val="00C0440A"/>
    <w:rsid w:val="00C052AF"/>
    <w:rsid w:val="00C05621"/>
    <w:rsid w:val="00C058EC"/>
    <w:rsid w:val="00C05B42"/>
    <w:rsid w:val="00C05EE8"/>
    <w:rsid w:val="00C065ED"/>
    <w:rsid w:val="00C06940"/>
    <w:rsid w:val="00C07673"/>
    <w:rsid w:val="00C11E8D"/>
    <w:rsid w:val="00C13860"/>
    <w:rsid w:val="00C13EA6"/>
    <w:rsid w:val="00C158CE"/>
    <w:rsid w:val="00C16547"/>
    <w:rsid w:val="00C16DFA"/>
    <w:rsid w:val="00C173D4"/>
    <w:rsid w:val="00C17E5D"/>
    <w:rsid w:val="00C17FA1"/>
    <w:rsid w:val="00C20E2F"/>
    <w:rsid w:val="00C20E39"/>
    <w:rsid w:val="00C21C7F"/>
    <w:rsid w:val="00C21F49"/>
    <w:rsid w:val="00C22965"/>
    <w:rsid w:val="00C22C82"/>
    <w:rsid w:val="00C2306B"/>
    <w:rsid w:val="00C237E3"/>
    <w:rsid w:val="00C2462A"/>
    <w:rsid w:val="00C24A2D"/>
    <w:rsid w:val="00C25599"/>
    <w:rsid w:val="00C269DF"/>
    <w:rsid w:val="00C27780"/>
    <w:rsid w:val="00C306F6"/>
    <w:rsid w:val="00C31126"/>
    <w:rsid w:val="00C32654"/>
    <w:rsid w:val="00C3312A"/>
    <w:rsid w:val="00C3449A"/>
    <w:rsid w:val="00C34FF6"/>
    <w:rsid w:val="00C357CF"/>
    <w:rsid w:val="00C3610D"/>
    <w:rsid w:val="00C3788E"/>
    <w:rsid w:val="00C37A6F"/>
    <w:rsid w:val="00C409F2"/>
    <w:rsid w:val="00C434FF"/>
    <w:rsid w:val="00C450A3"/>
    <w:rsid w:val="00C454C7"/>
    <w:rsid w:val="00C458C8"/>
    <w:rsid w:val="00C47756"/>
    <w:rsid w:val="00C47F43"/>
    <w:rsid w:val="00C50928"/>
    <w:rsid w:val="00C52072"/>
    <w:rsid w:val="00C52769"/>
    <w:rsid w:val="00C5362B"/>
    <w:rsid w:val="00C56091"/>
    <w:rsid w:val="00C561CE"/>
    <w:rsid w:val="00C56250"/>
    <w:rsid w:val="00C56954"/>
    <w:rsid w:val="00C56BB0"/>
    <w:rsid w:val="00C56E32"/>
    <w:rsid w:val="00C57754"/>
    <w:rsid w:val="00C60D2E"/>
    <w:rsid w:val="00C6111E"/>
    <w:rsid w:val="00C61546"/>
    <w:rsid w:val="00C62148"/>
    <w:rsid w:val="00C62583"/>
    <w:rsid w:val="00C62AA4"/>
    <w:rsid w:val="00C63A08"/>
    <w:rsid w:val="00C63EDA"/>
    <w:rsid w:val="00C64B92"/>
    <w:rsid w:val="00C65740"/>
    <w:rsid w:val="00C657CB"/>
    <w:rsid w:val="00C65E2E"/>
    <w:rsid w:val="00C6671D"/>
    <w:rsid w:val="00C67226"/>
    <w:rsid w:val="00C676DA"/>
    <w:rsid w:val="00C679A8"/>
    <w:rsid w:val="00C71108"/>
    <w:rsid w:val="00C72A98"/>
    <w:rsid w:val="00C72F6B"/>
    <w:rsid w:val="00C75080"/>
    <w:rsid w:val="00C75580"/>
    <w:rsid w:val="00C7588C"/>
    <w:rsid w:val="00C759F0"/>
    <w:rsid w:val="00C761C4"/>
    <w:rsid w:val="00C762A1"/>
    <w:rsid w:val="00C766E6"/>
    <w:rsid w:val="00C767AC"/>
    <w:rsid w:val="00C76C9B"/>
    <w:rsid w:val="00C80780"/>
    <w:rsid w:val="00C8153B"/>
    <w:rsid w:val="00C81E11"/>
    <w:rsid w:val="00C82180"/>
    <w:rsid w:val="00C82919"/>
    <w:rsid w:val="00C8342E"/>
    <w:rsid w:val="00C84E6C"/>
    <w:rsid w:val="00C865A1"/>
    <w:rsid w:val="00C86CCA"/>
    <w:rsid w:val="00C86DC5"/>
    <w:rsid w:val="00C877EE"/>
    <w:rsid w:val="00C90393"/>
    <w:rsid w:val="00C90CB4"/>
    <w:rsid w:val="00C914F5"/>
    <w:rsid w:val="00C91FAA"/>
    <w:rsid w:val="00C92473"/>
    <w:rsid w:val="00C92E0D"/>
    <w:rsid w:val="00C95DDD"/>
    <w:rsid w:val="00C9651B"/>
    <w:rsid w:val="00C96BCF"/>
    <w:rsid w:val="00C97B61"/>
    <w:rsid w:val="00C97F0D"/>
    <w:rsid w:val="00CA247B"/>
    <w:rsid w:val="00CA39A2"/>
    <w:rsid w:val="00CA404F"/>
    <w:rsid w:val="00CA4946"/>
    <w:rsid w:val="00CA51F6"/>
    <w:rsid w:val="00CA5272"/>
    <w:rsid w:val="00CA5999"/>
    <w:rsid w:val="00CA750A"/>
    <w:rsid w:val="00CA7DA0"/>
    <w:rsid w:val="00CB0833"/>
    <w:rsid w:val="00CB0A95"/>
    <w:rsid w:val="00CB1170"/>
    <w:rsid w:val="00CB224B"/>
    <w:rsid w:val="00CB4C74"/>
    <w:rsid w:val="00CB4D9B"/>
    <w:rsid w:val="00CB4DDA"/>
    <w:rsid w:val="00CB4DDC"/>
    <w:rsid w:val="00CB5A04"/>
    <w:rsid w:val="00CB6241"/>
    <w:rsid w:val="00CB6DBA"/>
    <w:rsid w:val="00CB7920"/>
    <w:rsid w:val="00CC093A"/>
    <w:rsid w:val="00CC1C50"/>
    <w:rsid w:val="00CC21E8"/>
    <w:rsid w:val="00CC2886"/>
    <w:rsid w:val="00CC2E95"/>
    <w:rsid w:val="00CC2F2E"/>
    <w:rsid w:val="00CC31F1"/>
    <w:rsid w:val="00CC3397"/>
    <w:rsid w:val="00CC33B8"/>
    <w:rsid w:val="00CC33FC"/>
    <w:rsid w:val="00CC37E3"/>
    <w:rsid w:val="00CC398F"/>
    <w:rsid w:val="00CC4C56"/>
    <w:rsid w:val="00CC5046"/>
    <w:rsid w:val="00CC6578"/>
    <w:rsid w:val="00CC7DEC"/>
    <w:rsid w:val="00CD11E3"/>
    <w:rsid w:val="00CD1E77"/>
    <w:rsid w:val="00CD276F"/>
    <w:rsid w:val="00CD3286"/>
    <w:rsid w:val="00CD36BB"/>
    <w:rsid w:val="00CD3BB1"/>
    <w:rsid w:val="00CD3DD8"/>
    <w:rsid w:val="00CD4149"/>
    <w:rsid w:val="00CD4D35"/>
    <w:rsid w:val="00CD5C88"/>
    <w:rsid w:val="00CD5EB7"/>
    <w:rsid w:val="00CD6907"/>
    <w:rsid w:val="00CD7469"/>
    <w:rsid w:val="00CE053B"/>
    <w:rsid w:val="00CE0B8B"/>
    <w:rsid w:val="00CE0FF1"/>
    <w:rsid w:val="00CE132E"/>
    <w:rsid w:val="00CE148D"/>
    <w:rsid w:val="00CE2DAB"/>
    <w:rsid w:val="00CE4DB9"/>
    <w:rsid w:val="00CE5956"/>
    <w:rsid w:val="00CE5A63"/>
    <w:rsid w:val="00CE6A6D"/>
    <w:rsid w:val="00CE7BB2"/>
    <w:rsid w:val="00CE7CCA"/>
    <w:rsid w:val="00CF16B3"/>
    <w:rsid w:val="00CF1AED"/>
    <w:rsid w:val="00CF1B12"/>
    <w:rsid w:val="00CF25C2"/>
    <w:rsid w:val="00CF45AB"/>
    <w:rsid w:val="00CF4DE5"/>
    <w:rsid w:val="00CF58FC"/>
    <w:rsid w:val="00CF7A05"/>
    <w:rsid w:val="00CF7A75"/>
    <w:rsid w:val="00CF7D75"/>
    <w:rsid w:val="00D00ABF"/>
    <w:rsid w:val="00D01450"/>
    <w:rsid w:val="00D02067"/>
    <w:rsid w:val="00D03729"/>
    <w:rsid w:val="00D037C1"/>
    <w:rsid w:val="00D046D8"/>
    <w:rsid w:val="00D0519F"/>
    <w:rsid w:val="00D05EED"/>
    <w:rsid w:val="00D064DB"/>
    <w:rsid w:val="00D067A8"/>
    <w:rsid w:val="00D1087A"/>
    <w:rsid w:val="00D10D7C"/>
    <w:rsid w:val="00D111C8"/>
    <w:rsid w:val="00D1256E"/>
    <w:rsid w:val="00D12C6E"/>
    <w:rsid w:val="00D1348B"/>
    <w:rsid w:val="00D157F4"/>
    <w:rsid w:val="00D15F6E"/>
    <w:rsid w:val="00D203DF"/>
    <w:rsid w:val="00D204C4"/>
    <w:rsid w:val="00D21002"/>
    <w:rsid w:val="00D2251D"/>
    <w:rsid w:val="00D227C4"/>
    <w:rsid w:val="00D22F2D"/>
    <w:rsid w:val="00D23F7C"/>
    <w:rsid w:val="00D246FC"/>
    <w:rsid w:val="00D2748A"/>
    <w:rsid w:val="00D27DCF"/>
    <w:rsid w:val="00D30209"/>
    <w:rsid w:val="00D30EE5"/>
    <w:rsid w:val="00D31659"/>
    <w:rsid w:val="00D32831"/>
    <w:rsid w:val="00D331F3"/>
    <w:rsid w:val="00D348A0"/>
    <w:rsid w:val="00D349AA"/>
    <w:rsid w:val="00D34B20"/>
    <w:rsid w:val="00D34D2C"/>
    <w:rsid w:val="00D34F91"/>
    <w:rsid w:val="00D3517A"/>
    <w:rsid w:val="00D35F76"/>
    <w:rsid w:val="00D3739F"/>
    <w:rsid w:val="00D37CC5"/>
    <w:rsid w:val="00D41966"/>
    <w:rsid w:val="00D42A62"/>
    <w:rsid w:val="00D46851"/>
    <w:rsid w:val="00D47558"/>
    <w:rsid w:val="00D4797D"/>
    <w:rsid w:val="00D50EBE"/>
    <w:rsid w:val="00D51517"/>
    <w:rsid w:val="00D51BB6"/>
    <w:rsid w:val="00D53210"/>
    <w:rsid w:val="00D56201"/>
    <w:rsid w:val="00D56898"/>
    <w:rsid w:val="00D6012C"/>
    <w:rsid w:val="00D60848"/>
    <w:rsid w:val="00D62364"/>
    <w:rsid w:val="00D645E5"/>
    <w:rsid w:val="00D64654"/>
    <w:rsid w:val="00D650A1"/>
    <w:rsid w:val="00D65655"/>
    <w:rsid w:val="00D65CA0"/>
    <w:rsid w:val="00D70EEB"/>
    <w:rsid w:val="00D71461"/>
    <w:rsid w:val="00D72A21"/>
    <w:rsid w:val="00D75970"/>
    <w:rsid w:val="00D759F3"/>
    <w:rsid w:val="00D75BD2"/>
    <w:rsid w:val="00D75C39"/>
    <w:rsid w:val="00D769FD"/>
    <w:rsid w:val="00D800B5"/>
    <w:rsid w:val="00D80703"/>
    <w:rsid w:val="00D80B08"/>
    <w:rsid w:val="00D822F3"/>
    <w:rsid w:val="00D825A3"/>
    <w:rsid w:val="00D82795"/>
    <w:rsid w:val="00D863DF"/>
    <w:rsid w:val="00D8729D"/>
    <w:rsid w:val="00D900E7"/>
    <w:rsid w:val="00D91515"/>
    <w:rsid w:val="00D917F8"/>
    <w:rsid w:val="00D92379"/>
    <w:rsid w:val="00D92552"/>
    <w:rsid w:val="00D9372D"/>
    <w:rsid w:val="00D9379A"/>
    <w:rsid w:val="00D9404B"/>
    <w:rsid w:val="00D94799"/>
    <w:rsid w:val="00D94A81"/>
    <w:rsid w:val="00D95D51"/>
    <w:rsid w:val="00D95E41"/>
    <w:rsid w:val="00D96306"/>
    <w:rsid w:val="00D9667B"/>
    <w:rsid w:val="00D97DF6"/>
    <w:rsid w:val="00DA0A39"/>
    <w:rsid w:val="00DA1059"/>
    <w:rsid w:val="00DA1428"/>
    <w:rsid w:val="00DA14BB"/>
    <w:rsid w:val="00DA22B9"/>
    <w:rsid w:val="00DA3D75"/>
    <w:rsid w:val="00DA3FCD"/>
    <w:rsid w:val="00DA3FFE"/>
    <w:rsid w:val="00DA4470"/>
    <w:rsid w:val="00DA5330"/>
    <w:rsid w:val="00DA631A"/>
    <w:rsid w:val="00DA7AEC"/>
    <w:rsid w:val="00DB0F8F"/>
    <w:rsid w:val="00DB2878"/>
    <w:rsid w:val="00DB354B"/>
    <w:rsid w:val="00DB3BAA"/>
    <w:rsid w:val="00DB41A8"/>
    <w:rsid w:val="00DB45AE"/>
    <w:rsid w:val="00DB4654"/>
    <w:rsid w:val="00DB5BFB"/>
    <w:rsid w:val="00DB5F4E"/>
    <w:rsid w:val="00DB6CD6"/>
    <w:rsid w:val="00DC00E6"/>
    <w:rsid w:val="00DC0233"/>
    <w:rsid w:val="00DC0EAA"/>
    <w:rsid w:val="00DC2792"/>
    <w:rsid w:val="00DC2A86"/>
    <w:rsid w:val="00DC3939"/>
    <w:rsid w:val="00DC6A0C"/>
    <w:rsid w:val="00DC72EB"/>
    <w:rsid w:val="00DC73E5"/>
    <w:rsid w:val="00DC754D"/>
    <w:rsid w:val="00DC771C"/>
    <w:rsid w:val="00DC7AB4"/>
    <w:rsid w:val="00DC7BD6"/>
    <w:rsid w:val="00DC7CE4"/>
    <w:rsid w:val="00DD00F1"/>
    <w:rsid w:val="00DD03E6"/>
    <w:rsid w:val="00DD04B1"/>
    <w:rsid w:val="00DD2B42"/>
    <w:rsid w:val="00DD2DD0"/>
    <w:rsid w:val="00DD43EF"/>
    <w:rsid w:val="00DD4EC2"/>
    <w:rsid w:val="00DD5023"/>
    <w:rsid w:val="00DD533C"/>
    <w:rsid w:val="00DD5A9C"/>
    <w:rsid w:val="00DD63C0"/>
    <w:rsid w:val="00DD7EAE"/>
    <w:rsid w:val="00DE160F"/>
    <w:rsid w:val="00DE1CA4"/>
    <w:rsid w:val="00DE331D"/>
    <w:rsid w:val="00DE644D"/>
    <w:rsid w:val="00DE671E"/>
    <w:rsid w:val="00DE7758"/>
    <w:rsid w:val="00DE779E"/>
    <w:rsid w:val="00DE7BD4"/>
    <w:rsid w:val="00DE7CF7"/>
    <w:rsid w:val="00DF0786"/>
    <w:rsid w:val="00DF0E8A"/>
    <w:rsid w:val="00DF3259"/>
    <w:rsid w:val="00DF5890"/>
    <w:rsid w:val="00DF5E47"/>
    <w:rsid w:val="00DF605B"/>
    <w:rsid w:val="00DF7EFB"/>
    <w:rsid w:val="00E00295"/>
    <w:rsid w:val="00E00581"/>
    <w:rsid w:val="00E010D7"/>
    <w:rsid w:val="00E01D66"/>
    <w:rsid w:val="00E01FEE"/>
    <w:rsid w:val="00E025BE"/>
    <w:rsid w:val="00E03D2A"/>
    <w:rsid w:val="00E0496E"/>
    <w:rsid w:val="00E049BE"/>
    <w:rsid w:val="00E0555A"/>
    <w:rsid w:val="00E05DA9"/>
    <w:rsid w:val="00E064AB"/>
    <w:rsid w:val="00E07E7B"/>
    <w:rsid w:val="00E1293D"/>
    <w:rsid w:val="00E14491"/>
    <w:rsid w:val="00E15127"/>
    <w:rsid w:val="00E16961"/>
    <w:rsid w:val="00E17329"/>
    <w:rsid w:val="00E203DB"/>
    <w:rsid w:val="00E20FDD"/>
    <w:rsid w:val="00E22171"/>
    <w:rsid w:val="00E22FB6"/>
    <w:rsid w:val="00E239CB"/>
    <w:rsid w:val="00E24D66"/>
    <w:rsid w:val="00E24F21"/>
    <w:rsid w:val="00E276D2"/>
    <w:rsid w:val="00E27FA6"/>
    <w:rsid w:val="00E302AD"/>
    <w:rsid w:val="00E305A5"/>
    <w:rsid w:val="00E312F8"/>
    <w:rsid w:val="00E33285"/>
    <w:rsid w:val="00E33DD2"/>
    <w:rsid w:val="00E3429D"/>
    <w:rsid w:val="00E34D15"/>
    <w:rsid w:val="00E40D7A"/>
    <w:rsid w:val="00E41674"/>
    <w:rsid w:val="00E427C9"/>
    <w:rsid w:val="00E43492"/>
    <w:rsid w:val="00E43BB3"/>
    <w:rsid w:val="00E43F73"/>
    <w:rsid w:val="00E44E2A"/>
    <w:rsid w:val="00E450C7"/>
    <w:rsid w:val="00E465D4"/>
    <w:rsid w:val="00E46658"/>
    <w:rsid w:val="00E46671"/>
    <w:rsid w:val="00E47B3A"/>
    <w:rsid w:val="00E47C7B"/>
    <w:rsid w:val="00E5050C"/>
    <w:rsid w:val="00E50651"/>
    <w:rsid w:val="00E52140"/>
    <w:rsid w:val="00E52635"/>
    <w:rsid w:val="00E54C02"/>
    <w:rsid w:val="00E5504F"/>
    <w:rsid w:val="00E5514C"/>
    <w:rsid w:val="00E55CDE"/>
    <w:rsid w:val="00E5648A"/>
    <w:rsid w:val="00E57BB0"/>
    <w:rsid w:val="00E6011D"/>
    <w:rsid w:val="00E60705"/>
    <w:rsid w:val="00E60FBD"/>
    <w:rsid w:val="00E62036"/>
    <w:rsid w:val="00E6456E"/>
    <w:rsid w:val="00E65531"/>
    <w:rsid w:val="00E65A10"/>
    <w:rsid w:val="00E665A6"/>
    <w:rsid w:val="00E66742"/>
    <w:rsid w:val="00E67AA7"/>
    <w:rsid w:val="00E70A61"/>
    <w:rsid w:val="00E7119B"/>
    <w:rsid w:val="00E7289F"/>
    <w:rsid w:val="00E72D7E"/>
    <w:rsid w:val="00E72EA2"/>
    <w:rsid w:val="00E7361D"/>
    <w:rsid w:val="00E7369B"/>
    <w:rsid w:val="00E76E12"/>
    <w:rsid w:val="00E77F79"/>
    <w:rsid w:val="00E8044D"/>
    <w:rsid w:val="00E80F04"/>
    <w:rsid w:val="00E832F3"/>
    <w:rsid w:val="00E838DE"/>
    <w:rsid w:val="00E8466A"/>
    <w:rsid w:val="00E85BD7"/>
    <w:rsid w:val="00E8697B"/>
    <w:rsid w:val="00E869DF"/>
    <w:rsid w:val="00E87A9B"/>
    <w:rsid w:val="00E9120B"/>
    <w:rsid w:val="00E923A7"/>
    <w:rsid w:val="00E93BCB"/>
    <w:rsid w:val="00E93E94"/>
    <w:rsid w:val="00E95BD7"/>
    <w:rsid w:val="00E9700F"/>
    <w:rsid w:val="00E97E04"/>
    <w:rsid w:val="00EA075D"/>
    <w:rsid w:val="00EA0F5A"/>
    <w:rsid w:val="00EA3454"/>
    <w:rsid w:val="00EA34F5"/>
    <w:rsid w:val="00EA502C"/>
    <w:rsid w:val="00EA5556"/>
    <w:rsid w:val="00EA65E2"/>
    <w:rsid w:val="00EA7122"/>
    <w:rsid w:val="00EA77A2"/>
    <w:rsid w:val="00EB1462"/>
    <w:rsid w:val="00EB190A"/>
    <w:rsid w:val="00EB2534"/>
    <w:rsid w:val="00EB260A"/>
    <w:rsid w:val="00EB2853"/>
    <w:rsid w:val="00EB296D"/>
    <w:rsid w:val="00EB2A82"/>
    <w:rsid w:val="00EB316B"/>
    <w:rsid w:val="00EB3BC7"/>
    <w:rsid w:val="00EB3E26"/>
    <w:rsid w:val="00EB4D55"/>
    <w:rsid w:val="00EB5060"/>
    <w:rsid w:val="00EB64A6"/>
    <w:rsid w:val="00EC05D7"/>
    <w:rsid w:val="00EC1AFC"/>
    <w:rsid w:val="00EC1DE9"/>
    <w:rsid w:val="00EC2CC5"/>
    <w:rsid w:val="00EC4E3D"/>
    <w:rsid w:val="00EC542F"/>
    <w:rsid w:val="00EC7415"/>
    <w:rsid w:val="00EC7CC2"/>
    <w:rsid w:val="00ED03F4"/>
    <w:rsid w:val="00ED04FE"/>
    <w:rsid w:val="00ED0535"/>
    <w:rsid w:val="00ED064A"/>
    <w:rsid w:val="00ED0BC8"/>
    <w:rsid w:val="00ED1422"/>
    <w:rsid w:val="00ED27FC"/>
    <w:rsid w:val="00ED337B"/>
    <w:rsid w:val="00ED3DBE"/>
    <w:rsid w:val="00ED56A2"/>
    <w:rsid w:val="00ED6141"/>
    <w:rsid w:val="00ED61F3"/>
    <w:rsid w:val="00ED6DF0"/>
    <w:rsid w:val="00ED7116"/>
    <w:rsid w:val="00ED7702"/>
    <w:rsid w:val="00EE00C2"/>
    <w:rsid w:val="00EE074D"/>
    <w:rsid w:val="00EE1019"/>
    <w:rsid w:val="00EE1522"/>
    <w:rsid w:val="00EE1A0D"/>
    <w:rsid w:val="00EE3200"/>
    <w:rsid w:val="00EE394E"/>
    <w:rsid w:val="00EE585F"/>
    <w:rsid w:val="00EE598C"/>
    <w:rsid w:val="00EE6B18"/>
    <w:rsid w:val="00EE6D86"/>
    <w:rsid w:val="00EE7CA5"/>
    <w:rsid w:val="00EF0087"/>
    <w:rsid w:val="00EF0541"/>
    <w:rsid w:val="00EF0FCC"/>
    <w:rsid w:val="00EF362E"/>
    <w:rsid w:val="00EF39F2"/>
    <w:rsid w:val="00EF6495"/>
    <w:rsid w:val="00F00364"/>
    <w:rsid w:val="00F00508"/>
    <w:rsid w:val="00F006BB"/>
    <w:rsid w:val="00F00A83"/>
    <w:rsid w:val="00F02DD3"/>
    <w:rsid w:val="00F057D4"/>
    <w:rsid w:val="00F06CFC"/>
    <w:rsid w:val="00F07083"/>
    <w:rsid w:val="00F10017"/>
    <w:rsid w:val="00F105F2"/>
    <w:rsid w:val="00F10EE5"/>
    <w:rsid w:val="00F11E53"/>
    <w:rsid w:val="00F122BF"/>
    <w:rsid w:val="00F132C1"/>
    <w:rsid w:val="00F13AF2"/>
    <w:rsid w:val="00F13DE7"/>
    <w:rsid w:val="00F1503D"/>
    <w:rsid w:val="00F16423"/>
    <w:rsid w:val="00F169B9"/>
    <w:rsid w:val="00F16E9A"/>
    <w:rsid w:val="00F175E0"/>
    <w:rsid w:val="00F17857"/>
    <w:rsid w:val="00F17A5F"/>
    <w:rsid w:val="00F20469"/>
    <w:rsid w:val="00F21CC6"/>
    <w:rsid w:val="00F22462"/>
    <w:rsid w:val="00F22DEA"/>
    <w:rsid w:val="00F23292"/>
    <w:rsid w:val="00F23685"/>
    <w:rsid w:val="00F23B95"/>
    <w:rsid w:val="00F24CCF"/>
    <w:rsid w:val="00F24EB7"/>
    <w:rsid w:val="00F256DE"/>
    <w:rsid w:val="00F2629C"/>
    <w:rsid w:val="00F26616"/>
    <w:rsid w:val="00F32252"/>
    <w:rsid w:val="00F32932"/>
    <w:rsid w:val="00F33643"/>
    <w:rsid w:val="00F347C9"/>
    <w:rsid w:val="00F35680"/>
    <w:rsid w:val="00F35EC7"/>
    <w:rsid w:val="00F36B8E"/>
    <w:rsid w:val="00F36FE9"/>
    <w:rsid w:val="00F374A9"/>
    <w:rsid w:val="00F40378"/>
    <w:rsid w:val="00F40901"/>
    <w:rsid w:val="00F40B70"/>
    <w:rsid w:val="00F417B3"/>
    <w:rsid w:val="00F4194E"/>
    <w:rsid w:val="00F42027"/>
    <w:rsid w:val="00F428D9"/>
    <w:rsid w:val="00F44616"/>
    <w:rsid w:val="00F447D2"/>
    <w:rsid w:val="00F455A9"/>
    <w:rsid w:val="00F479D7"/>
    <w:rsid w:val="00F47A84"/>
    <w:rsid w:val="00F47D6D"/>
    <w:rsid w:val="00F50772"/>
    <w:rsid w:val="00F51163"/>
    <w:rsid w:val="00F52242"/>
    <w:rsid w:val="00F5454F"/>
    <w:rsid w:val="00F55D58"/>
    <w:rsid w:val="00F567BB"/>
    <w:rsid w:val="00F569F8"/>
    <w:rsid w:val="00F60A67"/>
    <w:rsid w:val="00F623F2"/>
    <w:rsid w:val="00F62A91"/>
    <w:rsid w:val="00F62D18"/>
    <w:rsid w:val="00F62D53"/>
    <w:rsid w:val="00F62DCA"/>
    <w:rsid w:val="00F63455"/>
    <w:rsid w:val="00F64770"/>
    <w:rsid w:val="00F64BEB"/>
    <w:rsid w:val="00F64CC5"/>
    <w:rsid w:val="00F64FD0"/>
    <w:rsid w:val="00F65227"/>
    <w:rsid w:val="00F65BCB"/>
    <w:rsid w:val="00F66486"/>
    <w:rsid w:val="00F6739B"/>
    <w:rsid w:val="00F67400"/>
    <w:rsid w:val="00F709BC"/>
    <w:rsid w:val="00F71E2E"/>
    <w:rsid w:val="00F73B73"/>
    <w:rsid w:val="00F74DBD"/>
    <w:rsid w:val="00F7639F"/>
    <w:rsid w:val="00F80636"/>
    <w:rsid w:val="00F81088"/>
    <w:rsid w:val="00F811DC"/>
    <w:rsid w:val="00F81595"/>
    <w:rsid w:val="00F81BCF"/>
    <w:rsid w:val="00F81EFB"/>
    <w:rsid w:val="00F8207D"/>
    <w:rsid w:val="00F821A7"/>
    <w:rsid w:val="00F82463"/>
    <w:rsid w:val="00F826BB"/>
    <w:rsid w:val="00F835D8"/>
    <w:rsid w:val="00F8434A"/>
    <w:rsid w:val="00F848C2"/>
    <w:rsid w:val="00F8495F"/>
    <w:rsid w:val="00F84F17"/>
    <w:rsid w:val="00F84F40"/>
    <w:rsid w:val="00F851C8"/>
    <w:rsid w:val="00F85BF2"/>
    <w:rsid w:val="00F85DB2"/>
    <w:rsid w:val="00F8693D"/>
    <w:rsid w:val="00F86B45"/>
    <w:rsid w:val="00F8705C"/>
    <w:rsid w:val="00F90EBA"/>
    <w:rsid w:val="00F91A89"/>
    <w:rsid w:val="00F93EDD"/>
    <w:rsid w:val="00F9412A"/>
    <w:rsid w:val="00F9424E"/>
    <w:rsid w:val="00F9439A"/>
    <w:rsid w:val="00F94B8D"/>
    <w:rsid w:val="00F95B45"/>
    <w:rsid w:val="00F96571"/>
    <w:rsid w:val="00F9671F"/>
    <w:rsid w:val="00FA0031"/>
    <w:rsid w:val="00FA0EA5"/>
    <w:rsid w:val="00FA15CE"/>
    <w:rsid w:val="00FA1B65"/>
    <w:rsid w:val="00FA2B59"/>
    <w:rsid w:val="00FA4058"/>
    <w:rsid w:val="00FA51C9"/>
    <w:rsid w:val="00FA5A26"/>
    <w:rsid w:val="00FA5C1C"/>
    <w:rsid w:val="00FA62F0"/>
    <w:rsid w:val="00FA6606"/>
    <w:rsid w:val="00FA68CC"/>
    <w:rsid w:val="00FA6D0C"/>
    <w:rsid w:val="00FA721A"/>
    <w:rsid w:val="00FA74EA"/>
    <w:rsid w:val="00FB0FA8"/>
    <w:rsid w:val="00FB1C2F"/>
    <w:rsid w:val="00FB1E40"/>
    <w:rsid w:val="00FB2B2B"/>
    <w:rsid w:val="00FB2B69"/>
    <w:rsid w:val="00FB2BD0"/>
    <w:rsid w:val="00FB4977"/>
    <w:rsid w:val="00FB4B89"/>
    <w:rsid w:val="00FB62F0"/>
    <w:rsid w:val="00FB7FCC"/>
    <w:rsid w:val="00FC0068"/>
    <w:rsid w:val="00FC030C"/>
    <w:rsid w:val="00FC1703"/>
    <w:rsid w:val="00FC1C6F"/>
    <w:rsid w:val="00FC2516"/>
    <w:rsid w:val="00FC2BCB"/>
    <w:rsid w:val="00FC35DA"/>
    <w:rsid w:val="00FC3B9D"/>
    <w:rsid w:val="00FC3D92"/>
    <w:rsid w:val="00FC4522"/>
    <w:rsid w:val="00FC4E16"/>
    <w:rsid w:val="00FC5302"/>
    <w:rsid w:val="00FC5B88"/>
    <w:rsid w:val="00FC688D"/>
    <w:rsid w:val="00FD09F0"/>
    <w:rsid w:val="00FD0A05"/>
    <w:rsid w:val="00FD1F57"/>
    <w:rsid w:val="00FD233F"/>
    <w:rsid w:val="00FD37A6"/>
    <w:rsid w:val="00FD3D07"/>
    <w:rsid w:val="00FD3DD2"/>
    <w:rsid w:val="00FD4783"/>
    <w:rsid w:val="00FE2F0A"/>
    <w:rsid w:val="00FE46A1"/>
    <w:rsid w:val="00FE709F"/>
    <w:rsid w:val="00FE7520"/>
    <w:rsid w:val="00FE7E25"/>
    <w:rsid w:val="00FF0E4F"/>
    <w:rsid w:val="00FF1D36"/>
    <w:rsid w:val="00FF3177"/>
    <w:rsid w:val="00FF3913"/>
    <w:rsid w:val="00FF502A"/>
    <w:rsid w:val="00FF5428"/>
    <w:rsid w:val="00FF5C3C"/>
    <w:rsid w:val="01EB8908"/>
    <w:rsid w:val="0273FF84"/>
    <w:rsid w:val="02E2F310"/>
    <w:rsid w:val="02E9F88C"/>
    <w:rsid w:val="0360A08D"/>
    <w:rsid w:val="047A84E4"/>
    <w:rsid w:val="048EBF3A"/>
    <w:rsid w:val="04FFF7F9"/>
    <w:rsid w:val="054FA4C4"/>
    <w:rsid w:val="05A90A46"/>
    <w:rsid w:val="05DFB78B"/>
    <w:rsid w:val="061263CE"/>
    <w:rsid w:val="0745F2B1"/>
    <w:rsid w:val="077A5AF9"/>
    <w:rsid w:val="079AAEC8"/>
    <w:rsid w:val="08F270D4"/>
    <w:rsid w:val="0BC85D0D"/>
    <w:rsid w:val="0BF2C041"/>
    <w:rsid w:val="0C5E1516"/>
    <w:rsid w:val="0C706A7B"/>
    <w:rsid w:val="0C9B3AA8"/>
    <w:rsid w:val="0CF2B69D"/>
    <w:rsid w:val="0D0ED6BD"/>
    <w:rsid w:val="0D76E8BF"/>
    <w:rsid w:val="0E0C3ADC"/>
    <w:rsid w:val="0F1B6A46"/>
    <w:rsid w:val="0FC1339A"/>
    <w:rsid w:val="0FC9926E"/>
    <w:rsid w:val="10A31764"/>
    <w:rsid w:val="11292CC3"/>
    <w:rsid w:val="113765DD"/>
    <w:rsid w:val="12031DE3"/>
    <w:rsid w:val="123C3F6E"/>
    <w:rsid w:val="1272D37A"/>
    <w:rsid w:val="12F8D45C"/>
    <w:rsid w:val="1435FC86"/>
    <w:rsid w:val="148369E6"/>
    <w:rsid w:val="148CB737"/>
    <w:rsid w:val="15757A76"/>
    <w:rsid w:val="15C72B91"/>
    <w:rsid w:val="15EF8346"/>
    <w:rsid w:val="1641AFF5"/>
    <w:rsid w:val="166DF0F1"/>
    <w:rsid w:val="1696BCEF"/>
    <w:rsid w:val="16CA8EDA"/>
    <w:rsid w:val="16D89245"/>
    <w:rsid w:val="170B0FB4"/>
    <w:rsid w:val="17C457F9"/>
    <w:rsid w:val="17F06DFC"/>
    <w:rsid w:val="192744B5"/>
    <w:rsid w:val="19B33665"/>
    <w:rsid w:val="19C8F700"/>
    <w:rsid w:val="19DAAA19"/>
    <w:rsid w:val="1A53EB4D"/>
    <w:rsid w:val="1AFEEC14"/>
    <w:rsid w:val="1D035EBF"/>
    <w:rsid w:val="1D1A7E46"/>
    <w:rsid w:val="1D7A5138"/>
    <w:rsid w:val="1E122DF3"/>
    <w:rsid w:val="1E1544B3"/>
    <w:rsid w:val="1F096C36"/>
    <w:rsid w:val="1F162199"/>
    <w:rsid w:val="1F7A90B1"/>
    <w:rsid w:val="1F7F653E"/>
    <w:rsid w:val="1FB6D02A"/>
    <w:rsid w:val="20D454E2"/>
    <w:rsid w:val="21011C76"/>
    <w:rsid w:val="21B17CA3"/>
    <w:rsid w:val="21E44C74"/>
    <w:rsid w:val="23B225F1"/>
    <w:rsid w:val="2415C42B"/>
    <w:rsid w:val="24AAC887"/>
    <w:rsid w:val="2507AA25"/>
    <w:rsid w:val="25DE576A"/>
    <w:rsid w:val="26D1EDB2"/>
    <w:rsid w:val="27BD14B8"/>
    <w:rsid w:val="2800EAFE"/>
    <w:rsid w:val="2877F24D"/>
    <w:rsid w:val="288DF825"/>
    <w:rsid w:val="28FCCFCF"/>
    <w:rsid w:val="299CC148"/>
    <w:rsid w:val="2A8BE307"/>
    <w:rsid w:val="2B1A0A0B"/>
    <w:rsid w:val="2B41F399"/>
    <w:rsid w:val="2B8B6A6B"/>
    <w:rsid w:val="2C4A10CE"/>
    <w:rsid w:val="2C8DF6A0"/>
    <w:rsid w:val="2CAD4938"/>
    <w:rsid w:val="2CCF3F37"/>
    <w:rsid w:val="2D011F47"/>
    <w:rsid w:val="2D774CA5"/>
    <w:rsid w:val="2D907502"/>
    <w:rsid w:val="2DD040F2"/>
    <w:rsid w:val="2E5CF387"/>
    <w:rsid w:val="2E9E58E1"/>
    <w:rsid w:val="2F131D06"/>
    <w:rsid w:val="2F1B0A8C"/>
    <w:rsid w:val="2F637ED5"/>
    <w:rsid w:val="30B098FC"/>
    <w:rsid w:val="30D9509B"/>
    <w:rsid w:val="31307020"/>
    <w:rsid w:val="31D3939B"/>
    <w:rsid w:val="329D2807"/>
    <w:rsid w:val="337AA2F6"/>
    <w:rsid w:val="33B4FB63"/>
    <w:rsid w:val="3493109D"/>
    <w:rsid w:val="34EB8BF3"/>
    <w:rsid w:val="3516F17C"/>
    <w:rsid w:val="38C1ECD2"/>
    <w:rsid w:val="38C4B473"/>
    <w:rsid w:val="39C65C41"/>
    <w:rsid w:val="3AB24E51"/>
    <w:rsid w:val="3B1CC08C"/>
    <w:rsid w:val="3BE06537"/>
    <w:rsid w:val="3C2F159B"/>
    <w:rsid w:val="3C42CC87"/>
    <w:rsid w:val="3E165AA7"/>
    <w:rsid w:val="3E3FCCAF"/>
    <w:rsid w:val="3F164F2C"/>
    <w:rsid w:val="3F42692D"/>
    <w:rsid w:val="3F561F76"/>
    <w:rsid w:val="3F5CDA42"/>
    <w:rsid w:val="402CF2A5"/>
    <w:rsid w:val="402EB6FD"/>
    <w:rsid w:val="40B3D65A"/>
    <w:rsid w:val="4125F304"/>
    <w:rsid w:val="45570BF5"/>
    <w:rsid w:val="4631E50D"/>
    <w:rsid w:val="489B54BC"/>
    <w:rsid w:val="493B858C"/>
    <w:rsid w:val="4978DCF2"/>
    <w:rsid w:val="49C3E609"/>
    <w:rsid w:val="4A62A626"/>
    <w:rsid w:val="4B109D49"/>
    <w:rsid w:val="4B42C184"/>
    <w:rsid w:val="4B70F141"/>
    <w:rsid w:val="4C178086"/>
    <w:rsid w:val="4D0CC1A2"/>
    <w:rsid w:val="4D3C9011"/>
    <w:rsid w:val="4D61DF5B"/>
    <w:rsid w:val="4E6A293C"/>
    <w:rsid w:val="503849D0"/>
    <w:rsid w:val="506A5875"/>
    <w:rsid w:val="50870544"/>
    <w:rsid w:val="50956F13"/>
    <w:rsid w:val="50F8CA05"/>
    <w:rsid w:val="533D3AE1"/>
    <w:rsid w:val="53655A56"/>
    <w:rsid w:val="550E872A"/>
    <w:rsid w:val="551EB367"/>
    <w:rsid w:val="55C54CB8"/>
    <w:rsid w:val="56230464"/>
    <w:rsid w:val="566E60A1"/>
    <w:rsid w:val="56E7E0E0"/>
    <w:rsid w:val="570C658B"/>
    <w:rsid w:val="5735B89F"/>
    <w:rsid w:val="5833AD13"/>
    <w:rsid w:val="59C8CEFC"/>
    <w:rsid w:val="59F33230"/>
    <w:rsid w:val="59F522E5"/>
    <w:rsid w:val="5A1980D7"/>
    <w:rsid w:val="5A20D309"/>
    <w:rsid w:val="5A3D4E7C"/>
    <w:rsid w:val="5A40F48B"/>
    <w:rsid w:val="5C914527"/>
    <w:rsid w:val="5D19981B"/>
    <w:rsid w:val="5D1FD587"/>
    <w:rsid w:val="5F38FC6B"/>
    <w:rsid w:val="5F7910E2"/>
    <w:rsid w:val="5F8C5987"/>
    <w:rsid w:val="605138DD"/>
    <w:rsid w:val="607082A5"/>
    <w:rsid w:val="60950EEA"/>
    <w:rsid w:val="60D8C8DB"/>
    <w:rsid w:val="61BF83B8"/>
    <w:rsid w:val="62BCCBC8"/>
    <w:rsid w:val="63F69299"/>
    <w:rsid w:val="6400A6C3"/>
    <w:rsid w:val="644A4BD8"/>
    <w:rsid w:val="647B5571"/>
    <w:rsid w:val="64921B76"/>
    <w:rsid w:val="67461221"/>
    <w:rsid w:val="68673570"/>
    <w:rsid w:val="6922727E"/>
    <w:rsid w:val="6A5F0BFB"/>
    <w:rsid w:val="6AE33E1D"/>
    <w:rsid w:val="6AFAD344"/>
    <w:rsid w:val="6CD509D3"/>
    <w:rsid w:val="6CEC3054"/>
    <w:rsid w:val="6D0CA400"/>
    <w:rsid w:val="6D372C15"/>
    <w:rsid w:val="6E0133A8"/>
    <w:rsid w:val="6E0A567B"/>
    <w:rsid w:val="6E8565CA"/>
    <w:rsid w:val="6EB263E9"/>
    <w:rsid w:val="6ECB8C46"/>
    <w:rsid w:val="6ECFBFCE"/>
    <w:rsid w:val="6F58B0F3"/>
    <w:rsid w:val="6F7F90F4"/>
    <w:rsid w:val="6FF589FC"/>
    <w:rsid w:val="7077D5E3"/>
    <w:rsid w:val="71094A96"/>
    <w:rsid w:val="71533214"/>
    <w:rsid w:val="720D9B93"/>
    <w:rsid w:val="726E6A9C"/>
    <w:rsid w:val="73D2B3B4"/>
    <w:rsid w:val="749C5E5B"/>
    <w:rsid w:val="75132DF2"/>
    <w:rsid w:val="753ACDCA"/>
    <w:rsid w:val="757D97D2"/>
    <w:rsid w:val="75DFBA14"/>
    <w:rsid w:val="75EC3072"/>
    <w:rsid w:val="79573382"/>
    <w:rsid w:val="797F08C4"/>
    <w:rsid w:val="79DB65A4"/>
    <w:rsid w:val="79E12B06"/>
    <w:rsid w:val="7A809805"/>
    <w:rsid w:val="7AE0EBFD"/>
    <w:rsid w:val="7B36C999"/>
    <w:rsid w:val="7C6B8187"/>
    <w:rsid w:val="7D1A73DC"/>
    <w:rsid w:val="7D1D6503"/>
    <w:rsid w:val="7D512745"/>
    <w:rsid w:val="7DD7ACAC"/>
    <w:rsid w:val="7E557842"/>
    <w:rsid w:val="7ED5ECF2"/>
    <w:rsid w:val="7F0C06F4"/>
    <w:rsid w:val="7F7ACF9E"/>
    <w:rsid w:val="7FB45D20"/>
    <w:rsid w:val="7FBC4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3FCB5"/>
  <w15:chartTrackingRefBased/>
  <w15:docId w15:val="{DAE398D8-7209-4FE9-BDF8-6A75FD1B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F2D"/>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AAA"/>
    <w:pPr>
      <w:ind w:left="720"/>
      <w:contextualSpacing/>
    </w:pPr>
  </w:style>
  <w:style w:type="paragraph" w:styleId="NormalWeb">
    <w:name w:val="Normal (Web)"/>
    <w:basedOn w:val="Normal"/>
    <w:uiPriority w:val="99"/>
    <w:semiHidden/>
    <w:unhideWhenUsed/>
    <w:rsid w:val="001A46A6"/>
  </w:style>
  <w:style w:type="paragraph" w:styleId="EndnoteText">
    <w:name w:val="endnote text"/>
    <w:basedOn w:val="Normal"/>
    <w:link w:val="EndnoteTextChar"/>
    <w:uiPriority w:val="99"/>
    <w:semiHidden/>
    <w:unhideWhenUsed/>
    <w:rsid w:val="002A3A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A3AF6"/>
    <w:rPr>
      <w:kern w:val="0"/>
      <w:sz w:val="20"/>
      <w:szCs w:val="20"/>
      <w14:ligatures w14:val="none"/>
    </w:rPr>
  </w:style>
  <w:style w:type="character" w:styleId="EndnoteReference">
    <w:name w:val="endnote reference"/>
    <w:basedOn w:val="DefaultParagraphFont"/>
    <w:uiPriority w:val="99"/>
    <w:semiHidden/>
    <w:unhideWhenUsed/>
    <w:rsid w:val="002A3AF6"/>
    <w:rPr>
      <w:vertAlign w:val="superscript"/>
    </w:rPr>
  </w:style>
  <w:style w:type="paragraph" w:styleId="FootnoteText">
    <w:name w:val="footnote text"/>
    <w:basedOn w:val="Normal"/>
    <w:link w:val="FootnoteTextChar"/>
    <w:uiPriority w:val="99"/>
    <w:unhideWhenUsed/>
    <w:rsid w:val="002A3AF6"/>
    <w:pPr>
      <w:spacing w:after="0" w:line="240" w:lineRule="auto"/>
    </w:pPr>
    <w:rPr>
      <w:sz w:val="20"/>
      <w:szCs w:val="20"/>
    </w:rPr>
  </w:style>
  <w:style w:type="character" w:customStyle="1" w:styleId="FootnoteTextChar">
    <w:name w:val="Footnote Text Char"/>
    <w:basedOn w:val="DefaultParagraphFont"/>
    <w:link w:val="FootnoteText"/>
    <w:uiPriority w:val="99"/>
    <w:rsid w:val="002A3AF6"/>
    <w:rPr>
      <w:kern w:val="0"/>
      <w:sz w:val="20"/>
      <w:szCs w:val="20"/>
      <w14:ligatures w14:val="none"/>
    </w:rPr>
  </w:style>
  <w:style w:type="character" w:styleId="FootnoteReference">
    <w:name w:val="footnote reference"/>
    <w:basedOn w:val="DefaultParagraphFont"/>
    <w:uiPriority w:val="99"/>
    <w:semiHidden/>
    <w:unhideWhenUsed/>
    <w:rsid w:val="002A3AF6"/>
    <w:rPr>
      <w:vertAlign w:val="superscript"/>
    </w:rPr>
  </w:style>
  <w:style w:type="character" w:styleId="Hyperlink">
    <w:name w:val="Hyperlink"/>
    <w:basedOn w:val="DefaultParagraphFont"/>
    <w:uiPriority w:val="99"/>
    <w:unhideWhenUsed/>
    <w:rsid w:val="00704E32"/>
    <w:rPr>
      <w:color w:val="0000FF"/>
      <w:u w:val="single"/>
    </w:rPr>
  </w:style>
  <w:style w:type="character" w:styleId="UnresolvedMention">
    <w:name w:val="Unresolved Mention"/>
    <w:basedOn w:val="DefaultParagraphFont"/>
    <w:uiPriority w:val="99"/>
    <w:semiHidden/>
    <w:unhideWhenUsed/>
    <w:rsid w:val="001A0002"/>
    <w:rPr>
      <w:color w:val="605E5C"/>
      <w:shd w:val="clear" w:color="auto" w:fill="E1DFDD"/>
    </w:rPr>
  </w:style>
  <w:style w:type="table" w:styleId="TableGrid">
    <w:name w:val="Table Grid"/>
    <w:basedOn w:val="TableNormal"/>
    <w:uiPriority w:val="39"/>
    <w:rsid w:val="00CA75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1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E8D"/>
    <w:rPr>
      <w:kern w:val="0"/>
      <w14:ligatures w14:val="none"/>
    </w:rPr>
  </w:style>
  <w:style w:type="paragraph" w:styleId="Footer">
    <w:name w:val="footer"/>
    <w:basedOn w:val="Normal"/>
    <w:link w:val="FooterChar"/>
    <w:uiPriority w:val="99"/>
    <w:unhideWhenUsed/>
    <w:rsid w:val="00C11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E8D"/>
    <w:rPr>
      <w:kern w:val="0"/>
      <w14:ligatures w14:val="none"/>
    </w:rPr>
  </w:style>
  <w:style w:type="character" w:styleId="FollowedHyperlink">
    <w:name w:val="FollowedHyperlink"/>
    <w:basedOn w:val="DefaultParagraphFont"/>
    <w:uiPriority w:val="99"/>
    <w:semiHidden/>
    <w:unhideWhenUsed/>
    <w:rsid w:val="003F6F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0663">
      <w:bodyDiv w:val="1"/>
      <w:marLeft w:val="0"/>
      <w:marRight w:val="0"/>
      <w:marTop w:val="0"/>
      <w:marBottom w:val="0"/>
      <w:divBdr>
        <w:top w:val="none" w:sz="0" w:space="0" w:color="auto"/>
        <w:left w:val="none" w:sz="0" w:space="0" w:color="auto"/>
        <w:bottom w:val="none" w:sz="0" w:space="0" w:color="auto"/>
        <w:right w:val="none" w:sz="0" w:space="0" w:color="auto"/>
      </w:divBdr>
    </w:div>
    <w:div w:id="259681333">
      <w:bodyDiv w:val="1"/>
      <w:marLeft w:val="0"/>
      <w:marRight w:val="0"/>
      <w:marTop w:val="0"/>
      <w:marBottom w:val="0"/>
      <w:divBdr>
        <w:top w:val="none" w:sz="0" w:space="0" w:color="auto"/>
        <w:left w:val="none" w:sz="0" w:space="0" w:color="auto"/>
        <w:bottom w:val="none" w:sz="0" w:space="0" w:color="auto"/>
        <w:right w:val="none" w:sz="0" w:space="0" w:color="auto"/>
      </w:divBdr>
      <w:divsChild>
        <w:div w:id="1878002329">
          <w:marLeft w:val="446"/>
          <w:marRight w:val="0"/>
          <w:marTop w:val="115"/>
          <w:marBottom w:val="120"/>
          <w:divBdr>
            <w:top w:val="none" w:sz="0" w:space="0" w:color="auto"/>
            <w:left w:val="none" w:sz="0" w:space="0" w:color="auto"/>
            <w:bottom w:val="none" w:sz="0" w:space="0" w:color="auto"/>
            <w:right w:val="none" w:sz="0" w:space="0" w:color="auto"/>
          </w:divBdr>
        </w:div>
        <w:div w:id="1713073187">
          <w:marLeft w:val="446"/>
          <w:marRight w:val="0"/>
          <w:marTop w:val="115"/>
          <w:marBottom w:val="120"/>
          <w:divBdr>
            <w:top w:val="none" w:sz="0" w:space="0" w:color="auto"/>
            <w:left w:val="none" w:sz="0" w:space="0" w:color="auto"/>
            <w:bottom w:val="none" w:sz="0" w:space="0" w:color="auto"/>
            <w:right w:val="none" w:sz="0" w:space="0" w:color="auto"/>
          </w:divBdr>
        </w:div>
        <w:div w:id="1288782606">
          <w:marLeft w:val="446"/>
          <w:marRight w:val="0"/>
          <w:marTop w:val="115"/>
          <w:marBottom w:val="120"/>
          <w:divBdr>
            <w:top w:val="none" w:sz="0" w:space="0" w:color="auto"/>
            <w:left w:val="none" w:sz="0" w:space="0" w:color="auto"/>
            <w:bottom w:val="none" w:sz="0" w:space="0" w:color="auto"/>
            <w:right w:val="none" w:sz="0" w:space="0" w:color="auto"/>
          </w:divBdr>
        </w:div>
      </w:divsChild>
    </w:div>
    <w:div w:id="378895134">
      <w:bodyDiv w:val="1"/>
      <w:marLeft w:val="0"/>
      <w:marRight w:val="0"/>
      <w:marTop w:val="0"/>
      <w:marBottom w:val="0"/>
      <w:divBdr>
        <w:top w:val="none" w:sz="0" w:space="0" w:color="auto"/>
        <w:left w:val="none" w:sz="0" w:space="0" w:color="auto"/>
        <w:bottom w:val="none" w:sz="0" w:space="0" w:color="auto"/>
        <w:right w:val="none" w:sz="0" w:space="0" w:color="auto"/>
      </w:divBdr>
      <w:divsChild>
        <w:div w:id="403652014">
          <w:marLeft w:val="720"/>
          <w:marRight w:val="0"/>
          <w:marTop w:val="96"/>
          <w:marBottom w:val="120"/>
          <w:divBdr>
            <w:top w:val="none" w:sz="0" w:space="0" w:color="auto"/>
            <w:left w:val="none" w:sz="0" w:space="0" w:color="auto"/>
            <w:bottom w:val="none" w:sz="0" w:space="0" w:color="auto"/>
            <w:right w:val="none" w:sz="0" w:space="0" w:color="auto"/>
          </w:divBdr>
        </w:div>
        <w:div w:id="49572642">
          <w:marLeft w:val="720"/>
          <w:marRight w:val="0"/>
          <w:marTop w:val="96"/>
          <w:marBottom w:val="120"/>
          <w:divBdr>
            <w:top w:val="none" w:sz="0" w:space="0" w:color="auto"/>
            <w:left w:val="none" w:sz="0" w:space="0" w:color="auto"/>
            <w:bottom w:val="none" w:sz="0" w:space="0" w:color="auto"/>
            <w:right w:val="none" w:sz="0" w:space="0" w:color="auto"/>
          </w:divBdr>
        </w:div>
      </w:divsChild>
    </w:div>
    <w:div w:id="491264146">
      <w:bodyDiv w:val="1"/>
      <w:marLeft w:val="0"/>
      <w:marRight w:val="0"/>
      <w:marTop w:val="0"/>
      <w:marBottom w:val="0"/>
      <w:divBdr>
        <w:top w:val="none" w:sz="0" w:space="0" w:color="auto"/>
        <w:left w:val="none" w:sz="0" w:space="0" w:color="auto"/>
        <w:bottom w:val="none" w:sz="0" w:space="0" w:color="auto"/>
        <w:right w:val="none" w:sz="0" w:space="0" w:color="auto"/>
      </w:divBdr>
    </w:div>
    <w:div w:id="571044560">
      <w:bodyDiv w:val="1"/>
      <w:marLeft w:val="0"/>
      <w:marRight w:val="0"/>
      <w:marTop w:val="0"/>
      <w:marBottom w:val="0"/>
      <w:divBdr>
        <w:top w:val="none" w:sz="0" w:space="0" w:color="auto"/>
        <w:left w:val="none" w:sz="0" w:space="0" w:color="auto"/>
        <w:bottom w:val="none" w:sz="0" w:space="0" w:color="auto"/>
        <w:right w:val="none" w:sz="0" w:space="0" w:color="auto"/>
      </w:divBdr>
    </w:div>
    <w:div w:id="580405301">
      <w:bodyDiv w:val="1"/>
      <w:marLeft w:val="0"/>
      <w:marRight w:val="0"/>
      <w:marTop w:val="0"/>
      <w:marBottom w:val="0"/>
      <w:divBdr>
        <w:top w:val="none" w:sz="0" w:space="0" w:color="auto"/>
        <w:left w:val="none" w:sz="0" w:space="0" w:color="auto"/>
        <w:bottom w:val="none" w:sz="0" w:space="0" w:color="auto"/>
        <w:right w:val="none" w:sz="0" w:space="0" w:color="auto"/>
      </w:divBdr>
    </w:div>
    <w:div w:id="922951037">
      <w:bodyDiv w:val="1"/>
      <w:marLeft w:val="0"/>
      <w:marRight w:val="0"/>
      <w:marTop w:val="0"/>
      <w:marBottom w:val="0"/>
      <w:divBdr>
        <w:top w:val="none" w:sz="0" w:space="0" w:color="auto"/>
        <w:left w:val="none" w:sz="0" w:space="0" w:color="auto"/>
        <w:bottom w:val="none" w:sz="0" w:space="0" w:color="auto"/>
        <w:right w:val="none" w:sz="0" w:space="0" w:color="auto"/>
      </w:divBdr>
      <w:divsChild>
        <w:div w:id="566300638">
          <w:marLeft w:val="446"/>
          <w:marRight w:val="0"/>
          <w:marTop w:val="115"/>
          <w:marBottom w:val="120"/>
          <w:divBdr>
            <w:top w:val="none" w:sz="0" w:space="0" w:color="auto"/>
            <w:left w:val="none" w:sz="0" w:space="0" w:color="auto"/>
            <w:bottom w:val="none" w:sz="0" w:space="0" w:color="auto"/>
            <w:right w:val="none" w:sz="0" w:space="0" w:color="auto"/>
          </w:divBdr>
        </w:div>
        <w:div w:id="335613564">
          <w:marLeft w:val="446"/>
          <w:marRight w:val="0"/>
          <w:marTop w:val="115"/>
          <w:marBottom w:val="120"/>
          <w:divBdr>
            <w:top w:val="none" w:sz="0" w:space="0" w:color="auto"/>
            <w:left w:val="none" w:sz="0" w:space="0" w:color="auto"/>
            <w:bottom w:val="none" w:sz="0" w:space="0" w:color="auto"/>
            <w:right w:val="none" w:sz="0" w:space="0" w:color="auto"/>
          </w:divBdr>
        </w:div>
      </w:divsChild>
    </w:div>
    <w:div w:id="967974675">
      <w:bodyDiv w:val="1"/>
      <w:marLeft w:val="0"/>
      <w:marRight w:val="0"/>
      <w:marTop w:val="0"/>
      <w:marBottom w:val="0"/>
      <w:divBdr>
        <w:top w:val="none" w:sz="0" w:space="0" w:color="auto"/>
        <w:left w:val="none" w:sz="0" w:space="0" w:color="auto"/>
        <w:bottom w:val="none" w:sz="0" w:space="0" w:color="auto"/>
        <w:right w:val="none" w:sz="0" w:space="0" w:color="auto"/>
      </w:divBdr>
      <w:divsChild>
        <w:div w:id="602806804">
          <w:marLeft w:val="547"/>
          <w:marRight w:val="0"/>
          <w:marTop w:val="115"/>
          <w:marBottom w:val="120"/>
          <w:divBdr>
            <w:top w:val="none" w:sz="0" w:space="0" w:color="auto"/>
            <w:left w:val="none" w:sz="0" w:space="0" w:color="auto"/>
            <w:bottom w:val="none" w:sz="0" w:space="0" w:color="auto"/>
            <w:right w:val="none" w:sz="0" w:space="0" w:color="auto"/>
          </w:divBdr>
        </w:div>
        <w:div w:id="1065176892">
          <w:marLeft w:val="547"/>
          <w:marRight w:val="0"/>
          <w:marTop w:val="115"/>
          <w:marBottom w:val="120"/>
          <w:divBdr>
            <w:top w:val="none" w:sz="0" w:space="0" w:color="auto"/>
            <w:left w:val="none" w:sz="0" w:space="0" w:color="auto"/>
            <w:bottom w:val="none" w:sz="0" w:space="0" w:color="auto"/>
            <w:right w:val="none" w:sz="0" w:space="0" w:color="auto"/>
          </w:divBdr>
        </w:div>
        <w:div w:id="819226823">
          <w:marLeft w:val="446"/>
          <w:marRight w:val="0"/>
          <w:marTop w:val="115"/>
          <w:marBottom w:val="120"/>
          <w:divBdr>
            <w:top w:val="none" w:sz="0" w:space="0" w:color="auto"/>
            <w:left w:val="none" w:sz="0" w:space="0" w:color="auto"/>
            <w:bottom w:val="none" w:sz="0" w:space="0" w:color="auto"/>
            <w:right w:val="none" w:sz="0" w:space="0" w:color="auto"/>
          </w:divBdr>
        </w:div>
      </w:divsChild>
    </w:div>
    <w:div w:id="968753268">
      <w:bodyDiv w:val="1"/>
      <w:marLeft w:val="0"/>
      <w:marRight w:val="0"/>
      <w:marTop w:val="0"/>
      <w:marBottom w:val="0"/>
      <w:divBdr>
        <w:top w:val="none" w:sz="0" w:space="0" w:color="auto"/>
        <w:left w:val="none" w:sz="0" w:space="0" w:color="auto"/>
        <w:bottom w:val="none" w:sz="0" w:space="0" w:color="auto"/>
        <w:right w:val="none" w:sz="0" w:space="0" w:color="auto"/>
      </w:divBdr>
    </w:div>
    <w:div w:id="1022896306">
      <w:bodyDiv w:val="1"/>
      <w:marLeft w:val="0"/>
      <w:marRight w:val="0"/>
      <w:marTop w:val="0"/>
      <w:marBottom w:val="0"/>
      <w:divBdr>
        <w:top w:val="none" w:sz="0" w:space="0" w:color="auto"/>
        <w:left w:val="none" w:sz="0" w:space="0" w:color="auto"/>
        <w:bottom w:val="none" w:sz="0" w:space="0" w:color="auto"/>
        <w:right w:val="none" w:sz="0" w:space="0" w:color="auto"/>
      </w:divBdr>
    </w:div>
    <w:div w:id="1159468584">
      <w:bodyDiv w:val="1"/>
      <w:marLeft w:val="0"/>
      <w:marRight w:val="0"/>
      <w:marTop w:val="0"/>
      <w:marBottom w:val="0"/>
      <w:divBdr>
        <w:top w:val="none" w:sz="0" w:space="0" w:color="auto"/>
        <w:left w:val="none" w:sz="0" w:space="0" w:color="auto"/>
        <w:bottom w:val="none" w:sz="0" w:space="0" w:color="auto"/>
        <w:right w:val="none" w:sz="0" w:space="0" w:color="auto"/>
      </w:divBdr>
    </w:div>
    <w:div w:id="1194418654">
      <w:bodyDiv w:val="1"/>
      <w:marLeft w:val="0"/>
      <w:marRight w:val="0"/>
      <w:marTop w:val="0"/>
      <w:marBottom w:val="0"/>
      <w:divBdr>
        <w:top w:val="none" w:sz="0" w:space="0" w:color="auto"/>
        <w:left w:val="none" w:sz="0" w:space="0" w:color="auto"/>
        <w:bottom w:val="none" w:sz="0" w:space="0" w:color="auto"/>
        <w:right w:val="none" w:sz="0" w:space="0" w:color="auto"/>
      </w:divBdr>
      <w:divsChild>
        <w:div w:id="849762436">
          <w:marLeft w:val="0"/>
          <w:marRight w:val="0"/>
          <w:marTop w:val="0"/>
          <w:marBottom w:val="300"/>
          <w:divBdr>
            <w:top w:val="none" w:sz="0" w:space="0" w:color="auto"/>
            <w:left w:val="none" w:sz="0" w:space="0" w:color="auto"/>
            <w:bottom w:val="none" w:sz="0" w:space="0" w:color="auto"/>
            <w:right w:val="none" w:sz="0" w:space="0" w:color="auto"/>
          </w:divBdr>
        </w:div>
      </w:divsChild>
    </w:div>
    <w:div w:id="1244535585">
      <w:bodyDiv w:val="1"/>
      <w:marLeft w:val="0"/>
      <w:marRight w:val="0"/>
      <w:marTop w:val="0"/>
      <w:marBottom w:val="0"/>
      <w:divBdr>
        <w:top w:val="none" w:sz="0" w:space="0" w:color="auto"/>
        <w:left w:val="none" w:sz="0" w:space="0" w:color="auto"/>
        <w:bottom w:val="none" w:sz="0" w:space="0" w:color="auto"/>
        <w:right w:val="none" w:sz="0" w:space="0" w:color="auto"/>
      </w:divBdr>
      <w:divsChild>
        <w:div w:id="1138452894">
          <w:marLeft w:val="446"/>
          <w:marRight w:val="0"/>
          <w:marTop w:val="125"/>
          <w:marBottom w:val="120"/>
          <w:divBdr>
            <w:top w:val="none" w:sz="0" w:space="0" w:color="auto"/>
            <w:left w:val="none" w:sz="0" w:space="0" w:color="auto"/>
            <w:bottom w:val="none" w:sz="0" w:space="0" w:color="auto"/>
            <w:right w:val="none" w:sz="0" w:space="0" w:color="auto"/>
          </w:divBdr>
        </w:div>
        <w:div w:id="1586498476">
          <w:marLeft w:val="446"/>
          <w:marRight w:val="0"/>
          <w:marTop w:val="125"/>
          <w:marBottom w:val="120"/>
          <w:divBdr>
            <w:top w:val="none" w:sz="0" w:space="0" w:color="auto"/>
            <w:left w:val="none" w:sz="0" w:space="0" w:color="auto"/>
            <w:bottom w:val="none" w:sz="0" w:space="0" w:color="auto"/>
            <w:right w:val="none" w:sz="0" w:space="0" w:color="auto"/>
          </w:divBdr>
        </w:div>
        <w:div w:id="446316554">
          <w:marLeft w:val="446"/>
          <w:marRight w:val="0"/>
          <w:marTop w:val="125"/>
          <w:marBottom w:val="120"/>
          <w:divBdr>
            <w:top w:val="none" w:sz="0" w:space="0" w:color="auto"/>
            <w:left w:val="none" w:sz="0" w:space="0" w:color="auto"/>
            <w:bottom w:val="none" w:sz="0" w:space="0" w:color="auto"/>
            <w:right w:val="none" w:sz="0" w:space="0" w:color="auto"/>
          </w:divBdr>
        </w:div>
      </w:divsChild>
    </w:div>
    <w:div w:id="1698003004">
      <w:bodyDiv w:val="1"/>
      <w:marLeft w:val="0"/>
      <w:marRight w:val="0"/>
      <w:marTop w:val="0"/>
      <w:marBottom w:val="0"/>
      <w:divBdr>
        <w:top w:val="none" w:sz="0" w:space="0" w:color="auto"/>
        <w:left w:val="none" w:sz="0" w:space="0" w:color="auto"/>
        <w:bottom w:val="none" w:sz="0" w:space="0" w:color="auto"/>
        <w:right w:val="none" w:sz="0" w:space="0" w:color="auto"/>
      </w:divBdr>
    </w:div>
    <w:div w:id="1731882196">
      <w:bodyDiv w:val="1"/>
      <w:marLeft w:val="0"/>
      <w:marRight w:val="0"/>
      <w:marTop w:val="0"/>
      <w:marBottom w:val="0"/>
      <w:divBdr>
        <w:top w:val="none" w:sz="0" w:space="0" w:color="auto"/>
        <w:left w:val="none" w:sz="0" w:space="0" w:color="auto"/>
        <w:bottom w:val="none" w:sz="0" w:space="0" w:color="auto"/>
        <w:right w:val="none" w:sz="0" w:space="0" w:color="auto"/>
      </w:divBdr>
    </w:div>
    <w:div w:id="1943344102">
      <w:bodyDiv w:val="1"/>
      <w:marLeft w:val="0"/>
      <w:marRight w:val="0"/>
      <w:marTop w:val="0"/>
      <w:marBottom w:val="0"/>
      <w:divBdr>
        <w:top w:val="none" w:sz="0" w:space="0" w:color="auto"/>
        <w:left w:val="none" w:sz="0" w:space="0" w:color="auto"/>
        <w:bottom w:val="none" w:sz="0" w:space="0" w:color="auto"/>
        <w:right w:val="none" w:sz="0" w:space="0" w:color="auto"/>
      </w:divBdr>
      <w:divsChild>
        <w:div w:id="560871225">
          <w:marLeft w:val="720"/>
          <w:marRight w:val="0"/>
          <w:marTop w:val="115"/>
          <w:marBottom w:val="120"/>
          <w:divBdr>
            <w:top w:val="none" w:sz="0" w:space="0" w:color="auto"/>
            <w:left w:val="none" w:sz="0" w:space="0" w:color="auto"/>
            <w:bottom w:val="none" w:sz="0" w:space="0" w:color="auto"/>
            <w:right w:val="none" w:sz="0" w:space="0" w:color="auto"/>
          </w:divBdr>
        </w:div>
        <w:div w:id="247545930">
          <w:marLeft w:val="720"/>
          <w:marRight w:val="0"/>
          <w:marTop w:val="115"/>
          <w:marBottom w:val="120"/>
          <w:divBdr>
            <w:top w:val="none" w:sz="0" w:space="0" w:color="auto"/>
            <w:left w:val="none" w:sz="0" w:space="0" w:color="auto"/>
            <w:bottom w:val="none" w:sz="0" w:space="0" w:color="auto"/>
            <w:right w:val="none" w:sz="0" w:space="0" w:color="auto"/>
          </w:divBdr>
        </w:div>
        <w:div w:id="1416394710">
          <w:marLeft w:val="720"/>
          <w:marRight w:val="0"/>
          <w:marTop w:val="115"/>
          <w:marBottom w:val="120"/>
          <w:divBdr>
            <w:top w:val="none" w:sz="0" w:space="0" w:color="auto"/>
            <w:left w:val="none" w:sz="0" w:space="0" w:color="auto"/>
            <w:bottom w:val="none" w:sz="0" w:space="0" w:color="auto"/>
            <w:right w:val="none" w:sz="0" w:space="0" w:color="auto"/>
          </w:divBdr>
        </w:div>
        <w:div w:id="504052149">
          <w:marLeft w:val="720"/>
          <w:marRight w:val="0"/>
          <w:marTop w:val="115"/>
          <w:marBottom w:val="120"/>
          <w:divBdr>
            <w:top w:val="none" w:sz="0" w:space="0" w:color="auto"/>
            <w:left w:val="none" w:sz="0" w:space="0" w:color="auto"/>
            <w:bottom w:val="none" w:sz="0" w:space="0" w:color="auto"/>
            <w:right w:val="none" w:sz="0" w:space="0" w:color="auto"/>
          </w:divBdr>
        </w:div>
        <w:div w:id="2006125675">
          <w:marLeft w:val="720"/>
          <w:marRight w:val="0"/>
          <w:marTop w:val="115"/>
          <w:marBottom w:val="120"/>
          <w:divBdr>
            <w:top w:val="none" w:sz="0" w:space="0" w:color="auto"/>
            <w:left w:val="none" w:sz="0" w:space="0" w:color="auto"/>
            <w:bottom w:val="none" w:sz="0" w:space="0" w:color="auto"/>
            <w:right w:val="none" w:sz="0" w:space="0" w:color="auto"/>
          </w:divBdr>
        </w:div>
        <w:div w:id="1411195099">
          <w:marLeft w:val="720"/>
          <w:marRight w:val="0"/>
          <w:marTop w:val="115"/>
          <w:marBottom w:val="120"/>
          <w:divBdr>
            <w:top w:val="none" w:sz="0" w:space="0" w:color="auto"/>
            <w:left w:val="none" w:sz="0" w:space="0" w:color="auto"/>
            <w:bottom w:val="none" w:sz="0" w:space="0" w:color="auto"/>
            <w:right w:val="none" w:sz="0" w:space="0" w:color="auto"/>
          </w:divBdr>
        </w:div>
      </w:divsChild>
    </w:div>
    <w:div w:id="1954554428">
      <w:bodyDiv w:val="1"/>
      <w:marLeft w:val="0"/>
      <w:marRight w:val="0"/>
      <w:marTop w:val="0"/>
      <w:marBottom w:val="0"/>
      <w:divBdr>
        <w:top w:val="none" w:sz="0" w:space="0" w:color="auto"/>
        <w:left w:val="none" w:sz="0" w:space="0" w:color="auto"/>
        <w:bottom w:val="none" w:sz="0" w:space="0" w:color="auto"/>
        <w:right w:val="none" w:sz="0" w:space="0" w:color="auto"/>
      </w:divBdr>
    </w:div>
    <w:div w:id="1956792243">
      <w:bodyDiv w:val="1"/>
      <w:marLeft w:val="0"/>
      <w:marRight w:val="0"/>
      <w:marTop w:val="0"/>
      <w:marBottom w:val="0"/>
      <w:divBdr>
        <w:top w:val="none" w:sz="0" w:space="0" w:color="auto"/>
        <w:left w:val="none" w:sz="0" w:space="0" w:color="auto"/>
        <w:bottom w:val="none" w:sz="0" w:space="0" w:color="auto"/>
        <w:right w:val="none" w:sz="0" w:space="0" w:color="auto"/>
      </w:divBdr>
      <w:divsChild>
        <w:div w:id="1166356326">
          <w:marLeft w:val="446"/>
          <w:marRight w:val="0"/>
          <w:marTop w:val="10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1A058-6453-4B12-A5D9-0FF6CC78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14784</Words>
  <Characters>72316</Characters>
  <Application>Microsoft Office Word</Application>
  <DocSecurity>0</DocSecurity>
  <Lines>1474</Lines>
  <Paragraphs>769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Bird</dc:creator>
  <cp:keywords/>
  <dc:description/>
  <cp:lastModifiedBy>Joseph Bird</cp:lastModifiedBy>
  <cp:revision>5</cp:revision>
  <cp:lastPrinted>2024-04-02T14:30:00Z</cp:lastPrinted>
  <dcterms:created xsi:type="dcterms:W3CDTF">2024-04-08T13:07:00Z</dcterms:created>
  <dcterms:modified xsi:type="dcterms:W3CDTF">2024-04-08T14:43:00Z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9da78c24-9b81-488c-96a0-9df61e3cd14c</vt:lpwstr>
  </property>
</Properties>
</file>